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40"/>
        </w:rPr>
      </w:pPr>
      <w:r>
        <w:rPr>
          <w:rFonts w:hint="eastAsia" w:ascii="黑体" w:hAnsi="黑体" w:eastAsia="黑体" w:cs="黑体"/>
          <w:sz w:val="32"/>
          <w:szCs w:val="40"/>
        </w:rPr>
        <w:t>附件3</w:t>
      </w: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深圳市近零碳排放区试点验收评分表</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85"/>
        <w:gridCol w:w="750"/>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exact"/>
          <w:tblHeader/>
          <w:jc w:val="center"/>
        </w:trPr>
        <w:tc>
          <w:tcPr>
            <w:tcW w:w="7585" w:type="dxa"/>
            <w:tcBorders>
              <w:left w:val="single" w:color="auto" w:sz="12" w:space="0"/>
            </w:tcBorders>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评价内容</w:t>
            </w:r>
          </w:p>
        </w:tc>
        <w:tc>
          <w:tcPr>
            <w:tcW w:w="750" w:type="dxa"/>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分值</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一、核心指标完成情况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 xml:space="preserve">根据《深圳市近零碳排放区试点建设实施方案》（深环〔2021〕212号）（以下简称《实施方案》）中建设指引及申报时/变更备案后创建方案中设定的创建目标和指标体系，对试点项目建设核心指标完成情况进行评估。 </w:t>
            </w:r>
          </w:p>
          <w:p>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各类型指标分值设定详见表1-表6，各核心指标得分之和为该项最终得分。</w:t>
            </w:r>
            <w:r>
              <w:rPr>
                <w:rFonts w:hint="eastAsia" w:ascii="仿宋_GB2312" w:hAnsi="Calibri" w:eastAsia="仿宋_GB2312" w:cs="Times New Roman"/>
                <w:sz w:val="24"/>
                <w:szCs w:val="28"/>
              </w:rPr>
              <w:t>对于非量化指标，达成则纳入优秀指标计算范围。具体打分方式如下：</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40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585" w:type="dxa"/>
            <w:tcBorders>
              <w:left w:val="single" w:color="auto" w:sz="12" w:space="0"/>
            </w:tcBorders>
            <w:vAlign w:val="center"/>
          </w:tcPr>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二、一般指标完成情况</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根据《实施方案》中建设指引及申报时/变更备案后创建方案中设定的创建目标和指标体系，对试点项目建设一般指标完成情况进行评估。</w:t>
            </w:r>
          </w:p>
          <w:p>
            <w:pPr>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各类型指标分值设定详见表1-表6，各一般指标得分之和为该项最终得分。</w:t>
            </w:r>
            <w:r>
              <w:rPr>
                <w:rFonts w:hint="eastAsia" w:ascii="仿宋_GB2312" w:hAnsi="Calibri" w:eastAsia="仿宋_GB2312" w:cs="Times New Roman"/>
                <w:sz w:val="24"/>
                <w:szCs w:val="28"/>
              </w:rPr>
              <w:t>对于非量化指标，达成则纳入优秀指标计算范围。具体打分方式如下：</w:t>
            </w:r>
          </w:p>
          <w:p>
            <w:pPr>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3"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三、项目低碳路径创新性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包括对试点项目所采用的低碳技术的应用范围、技术创新点、技术难点、技术安全性等进行评估，并核查该技术在试点项目中的实际应用效果。</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优秀得分为18</w:t>
            </w:r>
            <w:r>
              <w:rPr>
                <w:rFonts w:hint="eastAsia" w:ascii="Times New Roman" w:hAnsi="Times New Roman" w:eastAsia="仿宋_GB2312"/>
                <w:sz w:val="24"/>
              </w:rPr>
              <w:t>~</w:t>
            </w:r>
            <w:r>
              <w:rPr>
                <w:rFonts w:hint="eastAsia" w:ascii="仿宋_GB2312" w:hAnsi="Calibri" w:eastAsia="仿宋_GB2312"/>
                <w:sz w:val="24"/>
              </w:rPr>
              <w:t>20分；良好得分为14</w:t>
            </w:r>
            <w:r>
              <w:rPr>
                <w:rFonts w:hint="eastAsia" w:ascii="Times New Roman" w:hAnsi="Times New Roman" w:eastAsia="仿宋_GB2312"/>
                <w:sz w:val="24"/>
              </w:rPr>
              <w:t>~17</w:t>
            </w:r>
            <w:r>
              <w:rPr>
                <w:rFonts w:hint="eastAsia" w:ascii="仿宋_GB2312" w:hAnsi="Calibri" w:eastAsia="仿宋_GB2312"/>
                <w:sz w:val="24"/>
              </w:rPr>
              <w:t>分；及格得分为12</w:t>
            </w:r>
            <w:r>
              <w:rPr>
                <w:rFonts w:hint="eastAsia" w:ascii="Times New Roman" w:hAnsi="Times New Roman" w:eastAsia="仿宋_GB2312"/>
                <w:sz w:val="24"/>
              </w:rPr>
              <w:t>~</w:t>
            </w:r>
            <w:r>
              <w:rPr>
                <w:rFonts w:hint="eastAsia" w:ascii="仿宋_GB2312" w:hAnsi="Calibri" w:eastAsia="仿宋_GB2312"/>
                <w:sz w:val="24"/>
              </w:rPr>
              <w:t>13分；不及格酌情评分。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四、项目低碳路径示范推广性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包括对试点项目所采用的低碳技术的可复制性、可推广性进行评估。</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w:t>
            </w:r>
            <w:r>
              <w:rPr>
                <w:rFonts w:hint="eastAsia" w:ascii="Times New Roman" w:hAnsi="Times New Roman" w:eastAsia="仿宋_GB2312"/>
                <w:sz w:val="24"/>
              </w:rPr>
              <w:t>1</w:t>
            </w:r>
            <w:r>
              <w:rPr>
                <w:rFonts w:hint="eastAsia" w:ascii="仿宋_GB2312" w:hAnsi="Calibri" w:eastAsia="仿宋_GB2312"/>
                <w:sz w:val="24"/>
              </w:rPr>
              <w:t>0分；良好得分为</w:t>
            </w:r>
            <w:r>
              <w:rPr>
                <w:rFonts w:hint="eastAsia" w:ascii="Times New Roman" w:hAnsi="Times New Roman" w:eastAsia="仿宋_GB2312"/>
                <w:sz w:val="24"/>
              </w:rPr>
              <w:t>8~9</w:t>
            </w:r>
            <w:r>
              <w:rPr>
                <w:rFonts w:hint="eastAsia" w:ascii="仿宋_GB2312" w:hAnsi="Calibri" w:eastAsia="仿宋_GB2312"/>
                <w:sz w:val="24"/>
              </w:rPr>
              <w:t>分；及格得分为6</w:t>
            </w:r>
            <w:r>
              <w:rPr>
                <w:rFonts w:hint="eastAsia" w:ascii="Times New Roman" w:hAnsi="Times New Roman" w:eastAsia="仿宋_GB2312"/>
                <w:sz w:val="24"/>
              </w:rPr>
              <w:t>~7</w:t>
            </w:r>
            <w:r>
              <w:rPr>
                <w:rFonts w:hint="eastAsia" w:ascii="仿宋_GB2312" w:hAnsi="Calibri" w:eastAsia="仿宋_GB2312"/>
                <w:sz w:val="24"/>
              </w:rPr>
              <w:t>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3"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五、碳排放管理完整度及适用情况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评估项目所采用的碳排放管理体系是否完备、完整、有效覆盖了所有与碳排放相关的环节和过程，并评估该管理体系的适用情况。</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优秀得分为5分；良好得分为4分；及格得分为3分；不及格酌情评分。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pPr>
              <w:snapToGrid w:val="0"/>
              <w:spacing w:before="31" w:beforeLines="10"/>
              <w:jc w:val="center"/>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7585" w:type="dxa"/>
            <w:tcBorders>
              <w:left w:val="single" w:color="auto" w:sz="12" w:space="0"/>
            </w:tcBorders>
            <w:vAlign w:val="center"/>
          </w:tcPr>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六、持续优化提升、建设零碳排放区的可能性。</w:t>
            </w:r>
          </w:p>
          <w:p>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评估项目是否具有持续优化提升并创建零碳排放区试点的工作条件。</w:t>
            </w:r>
          </w:p>
          <w:p>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优秀得分为5分；良好得分为4分；及格得分为3分；不及格酌情评分。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7585" w:type="dxa"/>
            <w:tcBorders>
              <w:left w:val="single" w:color="auto" w:sz="12" w:space="0"/>
            </w:tcBorders>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总  分</w:t>
            </w:r>
          </w:p>
        </w:tc>
        <w:tc>
          <w:tcPr>
            <w:tcW w:w="750" w:type="dxa"/>
            <w:vAlign w:val="center"/>
          </w:tcPr>
          <w:p>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100</w:t>
            </w:r>
          </w:p>
        </w:tc>
        <w:tc>
          <w:tcPr>
            <w:tcW w:w="874" w:type="dxa"/>
            <w:tcBorders>
              <w:right w:val="single" w:color="auto" w:sz="12" w:space="0"/>
            </w:tcBorders>
            <w:vAlign w:val="center"/>
          </w:tcPr>
          <w:p>
            <w:pPr>
              <w:snapToGrid w:val="0"/>
              <w:spacing w:before="31" w:beforeLines="10"/>
              <w:rPr>
                <w:rFonts w:ascii="仿宋_GB2312" w:hAnsi="Calibri" w:eastAsia="仿宋_GB2312" w:cs="Times New Roman"/>
                <w:sz w:val="24"/>
                <w:szCs w:val="28"/>
              </w:rPr>
            </w:pPr>
          </w:p>
        </w:tc>
      </w:tr>
    </w:tbl>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注：1.对于低碳基础较好的、完成总量下降目标难度大的试点项目，验收评价核心指标中碳排放指标时，原则上主要评价其碳排放强度指标。</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对设有特色创新性一般指标的试点项目，其建筑、交通、能源类特色创新性一般指标可得3分，绿地、废弃物、管理类的特色创新性一般指标可得2分，可在已有一般指标得分的基础上进行加分但所有一般指标总分不超过20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3.试点项目创建方案所设一般指标总分未达20分的，依照等比例转换法则，折算得出20分制的得分。</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值为100%，则具体打分方式如下：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及格：验收时指标值达到80%（含）-90%，指标得分取对应指标分值的60%（含）-70%；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不及格：验收时指标值未达到80%，指标得分酌情取对应指标分值的60%以下。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值为92%，则具体打分方式如下：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优秀：验收时指标值达到97%（含）-100%，指标得分取对应指标分值的100%；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良好：验收时指标值达到94%（含）-97%，指标得分取对应指标分值的70%（含）-100%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及格：验收时指标值达到92%（含）-94%，指标得分取对应指标分值的60%（含）-70%；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不及格：验收时指标值未达到92%，指标得分酌情取对应指标分值的60%以下。</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w:t>
      </w:r>
      <w:r>
        <w:rPr>
          <w:rFonts w:ascii="仿宋_GB2312" w:hAnsi="仿宋_GB2312" w:eastAsia="仿宋_GB2312" w:cs="仿宋_GB2312"/>
          <w:sz w:val="24"/>
        </w:rPr>
        <w:t>0</w:t>
      </w:r>
      <w:r>
        <w:rPr>
          <w:rFonts w:hint="eastAsia" w:ascii="仿宋_GB2312" w:hAnsi="仿宋_GB2312" w:eastAsia="仿宋_GB2312" w:cs="仿宋_GB2312"/>
          <w:sz w:val="24"/>
        </w:rPr>
        <w:t>%，则具体打分方式如下：</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优秀：验收时指标值达到96%（含）-100%，指标得分取对应指标分值的100%；</w:t>
      </w:r>
    </w:p>
    <w:p>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良好：验收时指标值达到92%（含）-96%，指标得分取对应指标分值的70%（含）-100%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w:t>
      </w:r>
      <w:r>
        <w:rPr>
          <w:rFonts w:ascii="仿宋_GB2312" w:hAnsi="仿宋_GB2312" w:eastAsia="仿宋_GB2312" w:cs="仿宋_GB2312"/>
          <w:sz w:val="24"/>
        </w:rPr>
        <w:t>0</w:t>
      </w:r>
      <w:r>
        <w:rPr>
          <w:rFonts w:hint="eastAsia" w:ascii="仿宋_GB2312" w:hAnsi="仿宋_GB2312" w:eastAsia="仿宋_GB2312" w:cs="仿宋_GB2312"/>
          <w:sz w:val="24"/>
        </w:rPr>
        <w:t>%（含）-92%，指标得分取对应指标分值的60%（含）-70%；</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w:t>
      </w:r>
      <w:r>
        <w:rPr>
          <w:rFonts w:ascii="仿宋_GB2312" w:hAnsi="仿宋_GB2312" w:eastAsia="仿宋_GB2312" w:cs="仿宋_GB2312"/>
          <w:sz w:val="24"/>
        </w:rPr>
        <w:t>0</w:t>
      </w:r>
      <w:r>
        <w:rPr>
          <w:rFonts w:hint="eastAsia" w:ascii="仿宋_GB2312" w:hAnsi="仿宋_GB2312" w:eastAsia="仿宋_GB2312" w:cs="仿宋_GB2312"/>
          <w:sz w:val="24"/>
        </w:rPr>
        <w:t>%，指标得分酌情取对应指标分值的60%以下。</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对设有碳排放管理体系指标的试点项目，评估计分规则遵循逐项评判原则，总得分不超过其预设的最大分值，具体评分细则为：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设立碳排放管理机构，明确岗位职责，指标得分取对应指标分值的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应制定零碳创建策略、实施计划、具体措施以及保持零碳的策略，指标得分取对应指标分值的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应开展低碳宣传活动和培训等，指标得分取对应指标分值的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应加强碳管理专业能力建设，加强人才引进与培养，指标得分取对应指标分值的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应开展碳排放盘查（核算），鼓励建立环境信息披露机制，定期公开环境信息，指标得分取对应指标分值的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.对设有碳排放监测系统指标的试点项目，评估计分规则遵循逐项评判原则，总得分不超过其预设的最大分值，具体评分细则为：</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实现用电、用气、用水自动远传计量系统，指标得分取对应指标分值的5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实现碳排放监测系统数据可视化，指标得分取对应指标分值的5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pPr>
        <w:rPr>
          <w:rFonts w:hint="eastAsia" w:ascii="黑体" w:hAnsi="黑体" w:eastAsia="黑体" w:cs="黑体"/>
          <w:sz w:val="28"/>
          <w:szCs w:val="32"/>
        </w:rPr>
      </w:pPr>
      <w:r>
        <w:rPr>
          <w:rFonts w:hint="eastAsia" w:ascii="黑体" w:hAnsi="黑体" w:eastAsia="黑体" w:cs="黑体"/>
          <w:sz w:val="28"/>
          <w:szCs w:val="32"/>
        </w:rPr>
        <w:br w:type="page"/>
      </w: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表1近零碳排放区域试点主要指标体系与分数设置</w:t>
      </w:r>
    </w:p>
    <w:tbl>
      <w:tblPr>
        <w:tblStyle w:val="8"/>
        <w:tblW w:w="5407" w:type="pct"/>
        <w:tblInd w:w="-318" w:type="dxa"/>
        <w:tblLayout w:type="autofit"/>
        <w:tblCellMar>
          <w:top w:w="0" w:type="dxa"/>
          <w:left w:w="108" w:type="dxa"/>
          <w:bottom w:w="0" w:type="dxa"/>
          <w:right w:w="108" w:type="dxa"/>
        </w:tblCellMar>
      </w:tblPr>
      <w:tblGrid>
        <w:gridCol w:w="1476"/>
        <w:gridCol w:w="1784"/>
        <w:gridCol w:w="1134"/>
        <w:gridCol w:w="1561"/>
        <w:gridCol w:w="1559"/>
        <w:gridCol w:w="1702"/>
      </w:tblGrid>
      <w:tr>
        <w:tblPrEx>
          <w:tblCellMar>
            <w:top w:w="0" w:type="dxa"/>
            <w:left w:w="108" w:type="dxa"/>
            <w:bottom w:w="0" w:type="dxa"/>
            <w:right w:w="108" w:type="dxa"/>
          </w:tblCellMar>
        </w:tblPrEx>
        <w:trPr>
          <w:trHeight w:val="58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6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1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4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既有区域碳排放总量下降率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较2020年下降30%以上</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tblPrEx>
          <w:tblCellMar>
            <w:top w:w="0" w:type="dxa"/>
            <w:left w:w="108" w:type="dxa"/>
            <w:bottom w:w="0" w:type="dxa"/>
            <w:right w:w="108" w:type="dxa"/>
          </w:tblCellMar>
        </w:tblPrEx>
        <w:trPr>
          <w:trHeight w:val="960"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区域人均碳排放量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吨CO</w:t>
            </w:r>
            <w:r>
              <w:rPr>
                <w:rFonts w:hint="eastAsia" w:ascii="仿宋_GB2312" w:hAnsi="宋体" w:eastAsia="仿宋_GB2312" w:cs="宋体"/>
                <w:color w:val="000000"/>
                <w:kern w:val="0"/>
                <w:sz w:val="24"/>
                <w:vertAlign w:val="subscript"/>
              </w:rPr>
              <w:t>2</w:t>
            </w:r>
            <w:r>
              <w:rPr>
                <w:rFonts w:hint="eastAsia" w:ascii="仿宋_GB2312" w:hAnsi="宋体" w:eastAsia="仿宋_GB2312" w:cs="宋体"/>
                <w:color w:val="000000"/>
                <w:kern w:val="0"/>
                <w:sz w:val="24"/>
              </w:rPr>
              <w:t>/（人</w:t>
            </w:r>
            <w:r>
              <w:rPr>
                <w:rFonts w:hint="eastAsia" w:ascii="宋体" w:hAnsi="宋体" w:eastAsia="宋体" w:cs="宋体"/>
                <w:color w:val="000000"/>
                <w:kern w:val="0"/>
                <w:sz w:val="24"/>
              </w:rPr>
              <w:t>•</w:t>
            </w:r>
            <w:r>
              <w:rPr>
                <w:rFonts w:hint="eastAsia" w:ascii="仿宋" w:hAnsi="仿宋" w:eastAsia="仿宋" w:cs="仿宋"/>
                <w:color w:val="000000"/>
                <w:kern w:val="0"/>
                <w:sz w:val="24"/>
              </w:rPr>
              <w:t>年</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能源</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可再生能源消费比重</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购买绿色电力比例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建筑</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二星级及以上绿色建筑面积比例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115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新建民用建筑达到绿色建筑二星级及以上比例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115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交通</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新建停车场的新能源汽车充电桩配置率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新能源路灯占比</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CellMar>
            <w:top w:w="0" w:type="dxa"/>
            <w:left w:w="108" w:type="dxa"/>
            <w:bottom w:w="0" w:type="dxa"/>
            <w:right w:w="108" w:type="dxa"/>
          </w:tblCellMar>
        </w:tblPrEx>
        <w:trPr>
          <w:trHeight w:val="300" w:hRule="atLeast"/>
        </w:trPr>
        <w:tc>
          <w:tcPr>
            <w:tcW w:w="80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绿地</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绿化覆盖率</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废弃物</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人均生活垃圾末端清运处理量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kg/（人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人均用水量</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L/（人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≤160</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2010" w:hRule="atLeast"/>
        </w:trPr>
        <w:tc>
          <w:tcPr>
            <w:tcW w:w="801"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碳抵消</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购买中国核证自愿减排量（CCER）、深圳碳普惠制核证减排量占碳排放量的比例</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碳排放管理体系</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r>
      <w:tr>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碳排放监测系统</w:t>
            </w:r>
          </w:p>
        </w:tc>
        <w:tc>
          <w:tcPr>
            <w:tcW w:w="615"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CellMar>
            <w:top w:w="0" w:type="dxa"/>
            <w:left w:w="108" w:type="dxa"/>
            <w:bottom w:w="0" w:type="dxa"/>
            <w:right w:w="108" w:type="dxa"/>
          </w:tblCellMar>
        </w:tblPrEx>
        <w:trPr>
          <w:trHeight w:val="300" w:hRule="atLeast"/>
        </w:trPr>
        <w:tc>
          <w:tcPr>
            <w:tcW w:w="407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总分</w:t>
            </w:r>
          </w:p>
        </w:tc>
        <w:tc>
          <w:tcPr>
            <w:tcW w:w="923"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表2 近零碳排放园区试点主要指标体系与分数设置</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699"/>
        <w:gridCol w:w="1159"/>
        <w:gridCol w:w="1543"/>
        <w:gridCol w:w="1554"/>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22"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29"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37"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3"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既有园区碳排放总量下降率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既有园区单位产值或单位工业增加值碳排放量下降率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能源</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可再生能源消费比重</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购买绿色电力比例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二星级及以上绿色建筑面积比例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交通</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园区内绿色交通出行比例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新能源路灯占比</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绿地</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绿化覆盖率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废弃物</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一般工业固体废物综合利用率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工业用水重复利用率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生活垃圾分类收集率</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46"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碳抵消</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购买中国核证自愿减排量（CCER）、深圳碳普惠制核证减排量占碳排放量的比例</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w:t>
            </w: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碳排放管理体系</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碳排放监测系统</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pPr>
              <w:widowControl/>
              <w:jc w:val="center"/>
              <w:rPr>
                <w:rFonts w:hint="eastAsia" w:ascii="仿宋_GB2312" w:hAnsi="仿宋_GB2312" w:eastAsia="仿宋_GB2312" w:cs="仿宋_GB2312"/>
                <w:color w:val="000000"/>
                <w:kern w:val="0"/>
                <w:sz w:val="24"/>
              </w:rPr>
            </w:pPr>
          </w:p>
        </w:tc>
        <w:tc>
          <w:tcPr>
            <w:tcW w:w="922"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碳披露</w:t>
            </w:r>
          </w:p>
        </w:tc>
        <w:tc>
          <w:tcPr>
            <w:tcW w:w="629"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每年定期对外公布园区企业碳排放情况</w:t>
            </w:r>
          </w:p>
        </w:tc>
        <w:tc>
          <w:tcPr>
            <w:tcW w:w="843" w:type="pct"/>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77" w:type="pct"/>
            <w:gridSpan w:val="5"/>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923" w:type="pct"/>
            <w:noWrap/>
            <w:vAlign w:val="center"/>
          </w:tcPr>
          <w:p>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表3 近零碳排放社区试点主要指标体系与分数设置</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134"/>
        <w:gridCol w:w="2019"/>
        <w:gridCol w:w="141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一级指标</w:t>
            </w:r>
          </w:p>
        </w:tc>
        <w:tc>
          <w:tcPr>
            <w:tcW w:w="1701"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1134"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单位</w:t>
            </w:r>
          </w:p>
        </w:tc>
        <w:tc>
          <w:tcPr>
            <w:tcW w:w="2019"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418"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383" w:type="dxa"/>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既有社区碳排放总量下降率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社区人均碳排放量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2019" w:type="dxa"/>
            <w:vAlign w:val="center"/>
          </w:tcPr>
          <w:p>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城市社区：≤0.65</w:t>
            </w:r>
          </w:p>
          <w:p>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农村社区：≤0.5</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城市社区：≥5</w:t>
            </w:r>
          </w:p>
          <w:p>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农村社区：≥10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农村社区太阳能热水器普及率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城市社区二星级及以上绿色建筑面积比例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农村社区推进开展宜居型示范农房建设</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开展试点建设,</w:t>
            </w:r>
          </w:p>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以点带面推进</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社区内居民拥有的新能源汽车占比</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新建停车场的新能源汽车充电桩配置率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社区内新能源路灯占比</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kg/（人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L/（人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pPr>
              <w:widowControl/>
              <w:jc w:val="center"/>
              <w:rPr>
                <w:rFonts w:hint="eastAsia" w:ascii="仿宋_GB2312" w:hAnsi="仿宋_GB2312" w:eastAsia="仿宋_GB2312" w:cs="仿宋_GB2312"/>
                <w:sz w:val="24"/>
              </w:rPr>
            </w:pPr>
          </w:p>
        </w:tc>
        <w:tc>
          <w:tcPr>
            <w:tcW w:w="1701"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3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次/年</w:t>
            </w:r>
          </w:p>
        </w:tc>
        <w:tc>
          <w:tcPr>
            <w:tcW w:w="2019"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组织相关低碳培训、承办相关低碳活动，每年次数≥4次</w:t>
            </w:r>
          </w:p>
        </w:tc>
        <w:tc>
          <w:tcPr>
            <w:tcW w:w="1418"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2" w:type="dxa"/>
            <w:gridSpan w:val="5"/>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83"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napToGrid w:val="0"/>
        <w:spacing w:before="156" w:beforeLines="50" w:after="156" w:afterLines="50"/>
        <w:jc w:val="center"/>
        <w:rPr>
          <w:rFonts w:hint="eastAsia" w:ascii="黑体" w:hAnsi="黑体" w:eastAsia="黑体" w:cs="黑体"/>
          <w:sz w:val="28"/>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表4 近零碳排放校园试点主要指标体系与分数设置</w:t>
      </w:r>
    </w:p>
    <w:tbl>
      <w:tblPr>
        <w:tblStyle w:val="8"/>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074"/>
        <w:gridCol w:w="1478"/>
        <w:gridCol w:w="1701"/>
        <w:gridCol w:w="132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一级</w:t>
            </w:r>
          </w:p>
          <w:p>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1984"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074" w:type="dxa"/>
            <w:vMerge w:val="restart"/>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3179" w:type="dxa"/>
            <w:gridSpan w:val="2"/>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326" w:type="dxa"/>
            <w:vMerge w:val="restart"/>
            <w:shd w:val="clear" w:color="auto" w:fill="auto"/>
            <w:vAlign w:val="center"/>
          </w:tcPr>
          <w:p>
            <w:pPr>
              <w:snapToGrid w:val="0"/>
              <w:jc w:val="center"/>
              <w:rPr>
                <w:rFonts w:hint="eastAsia" w:ascii="仿宋_GB2312" w:hAnsi="仿宋_GB2312" w:eastAsia="仿宋_GB2312" w:cs="仿宋_GB2312"/>
                <w:b/>
                <w:bCs/>
                <w:sz w:val="24"/>
              </w:rPr>
            </w:pPr>
            <w:r>
              <w:rPr>
                <w:rFonts w:hint="eastAsia" w:ascii="宋体" w:hAnsi="宋体" w:eastAsia="宋体" w:cs="宋体"/>
                <w:b/>
                <w:bCs/>
                <w:sz w:val="24"/>
              </w:rPr>
              <w:t>指标类型</w:t>
            </w:r>
          </w:p>
        </w:tc>
        <w:tc>
          <w:tcPr>
            <w:tcW w:w="1326" w:type="dxa"/>
            <w:vMerge w:val="restart"/>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continue"/>
            <w:shd w:val="clear" w:color="auto" w:fill="auto"/>
            <w:vAlign w:val="center"/>
          </w:tcPr>
          <w:p>
            <w:pPr>
              <w:snapToGrid w:val="0"/>
              <w:jc w:val="center"/>
              <w:rPr>
                <w:rFonts w:hint="eastAsia" w:ascii="宋体" w:hAnsi="宋体" w:eastAsia="宋体" w:cs="宋体"/>
                <w:b/>
                <w:bCs/>
                <w:sz w:val="24"/>
              </w:rPr>
            </w:pPr>
          </w:p>
        </w:tc>
        <w:tc>
          <w:tcPr>
            <w:tcW w:w="1984" w:type="dxa"/>
            <w:vMerge w:val="continue"/>
            <w:shd w:val="clear" w:color="auto" w:fill="auto"/>
            <w:vAlign w:val="center"/>
          </w:tcPr>
          <w:p>
            <w:pPr>
              <w:snapToGrid w:val="0"/>
              <w:jc w:val="center"/>
              <w:rPr>
                <w:rFonts w:hint="eastAsia" w:ascii="宋体" w:hAnsi="宋体" w:eastAsia="宋体" w:cs="宋体"/>
                <w:b/>
                <w:bCs/>
                <w:sz w:val="24"/>
              </w:rPr>
            </w:pPr>
          </w:p>
        </w:tc>
        <w:tc>
          <w:tcPr>
            <w:tcW w:w="1074" w:type="dxa"/>
            <w:vMerge w:val="continue"/>
            <w:shd w:val="clear" w:color="auto" w:fill="auto"/>
            <w:vAlign w:val="center"/>
          </w:tcPr>
          <w:p>
            <w:pPr>
              <w:snapToGrid w:val="0"/>
              <w:jc w:val="center"/>
              <w:rPr>
                <w:rFonts w:hint="eastAsia" w:ascii="宋体" w:hAnsi="宋体" w:eastAsia="宋体" w:cs="宋体"/>
                <w:b/>
                <w:bCs/>
                <w:sz w:val="24"/>
              </w:rPr>
            </w:pPr>
          </w:p>
        </w:tc>
        <w:tc>
          <w:tcPr>
            <w:tcW w:w="1478"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中小学校</w:t>
            </w:r>
          </w:p>
        </w:tc>
        <w:tc>
          <w:tcPr>
            <w:tcW w:w="1701"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职高、高等院校</w:t>
            </w:r>
          </w:p>
        </w:tc>
        <w:tc>
          <w:tcPr>
            <w:tcW w:w="1326" w:type="dxa"/>
            <w:vMerge w:val="continue"/>
            <w:shd w:val="clear" w:color="auto" w:fill="auto"/>
            <w:vAlign w:val="center"/>
          </w:tcPr>
          <w:p>
            <w:pPr>
              <w:snapToGrid w:val="0"/>
              <w:jc w:val="center"/>
              <w:rPr>
                <w:rFonts w:hint="eastAsia" w:ascii="仿宋_GB2312" w:hAnsi="仿宋_GB2312" w:eastAsia="仿宋_GB2312" w:cs="仿宋_GB2312"/>
                <w:b/>
                <w:bCs/>
                <w:sz w:val="24"/>
              </w:rPr>
            </w:pPr>
          </w:p>
        </w:tc>
        <w:tc>
          <w:tcPr>
            <w:tcW w:w="1326" w:type="dxa"/>
            <w:vMerge w:val="continue"/>
            <w:vAlign w:val="center"/>
          </w:tcPr>
          <w:p>
            <w:pPr>
              <w:snapToGrid w:val="0"/>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既有校园碳排放总量下降率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较2020年下降40%以上</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校园人均碳排放量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小学、初级中学和九</w:t>
            </w:r>
            <w:bookmarkStart w:id="0" w:name="_GoBack"/>
            <w:bookmarkEnd w:id="0"/>
            <w:r>
              <w:rPr>
                <w:rFonts w:hint="eastAsia" w:ascii="仿宋_GB2312" w:hAnsi="仿宋_GB2312" w:eastAsia="仿宋_GB2312" w:cs="仿宋_GB2312"/>
                <w:sz w:val="24"/>
                <w:lang w:eastAsia="zh-CN"/>
              </w:rPr>
              <w:t>年一贯制学校</w:t>
            </w:r>
            <w:r>
              <w:rPr>
                <w:rFonts w:hint="eastAsia" w:ascii="仿宋_GB2312" w:hAnsi="仿宋_GB2312" w:eastAsia="仿宋_GB2312" w:cs="仿宋_GB2312"/>
                <w:sz w:val="24"/>
              </w:rPr>
              <w:t>≤0.2</w:t>
            </w:r>
          </w:p>
          <w:p>
            <w:pPr>
              <w:snapToGrid w:val="0"/>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高级中学（包括寄宿制）≤</w:t>
            </w:r>
            <w:r>
              <w:rPr>
                <w:rFonts w:hint="eastAsia" w:ascii="仿宋_GB2312" w:hAnsi="仿宋_GB2312" w:eastAsia="仿宋_GB2312" w:cs="仿宋_GB2312"/>
                <w:sz w:val="24"/>
                <w:lang w:val="en-US" w:eastAsia="zh-CN"/>
              </w:rPr>
              <w:t>0.3</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高等学校≤45</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职业学校≤30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校园内绿色交通出行比例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校园内运营车辆的新能源汽车数量占比</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停车场的新能源汽车充电桩配置率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校园内新能源路灯占比</w:t>
            </w:r>
          </w:p>
        </w:tc>
        <w:tc>
          <w:tcPr>
            <w:tcW w:w="1074"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701" w:type="dxa"/>
            <w:shd w:val="clear" w:color="auto" w:fill="auto"/>
            <w:vAlign w:val="center"/>
          </w:tcPr>
          <w:p>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≥60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kg/（人•日）</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L/（人•日）</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≤70</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高等学校≤140</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职业学校≤85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kern w:val="0"/>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19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低碳教育</w:t>
            </w:r>
          </w:p>
        </w:tc>
        <w:tc>
          <w:tcPr>
            <w:tcW w:w="107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依托现有学科体系渗透低碳教育，开设低碳校园教育课程</w:t>
            </w:r>
          </w:p>
        </w:tc>
        <w:tc>
          <w:tcPr>
            <w:tcW w:w="1701"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开设低碳校园教育课程，依托科研优势开展技术研发、应用及推广</w:t>
            </w:r>
          </w:p>
        </w:tc>
        <w:tc>
          <w:tcPr>
            <w:tcW w:w="1326"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22" w:type="dxa"/>
            <w:gridSpan w:val="6"/>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6"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黑体" w:hAnsi="黑体" w:eastAsia="黑体" w:cs="黑体"/>
          <w:sz w:val="28"/>
          <w:szCs w:val="32"/>
        </w:rPr>
      </w:pPr>
    </w:p>
    <w:p>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表5 近零碳排放建筑试点主要指标体系与分数设置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6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restart"/>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5387" w:type="dxa"/>
            <w:gridSpan w:val="2"/>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vMerge w:val="restart"/>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Merge w:val="restart"/>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continue"/>
            <w:shd w:val="clear" w:color="auto" w:fill="auto"/>
            <w:vAlign w:val="center"/>
          </w:tcPr>
          <w:p>
            <w:pPr>
              <w:widowControl/>
              <w:jc w:val="center"/>
              <w:rPr>
                <w:rFonts w:hint="eastAsia" w:ascii="仿宋_GB2312" w:hAnsi="仿宋_GB2312" w:eastAsia="仿宋_GB2312" w:cs="仿宋_GB2312"/>
                <w:b/>
                <w:bCs/>
                <w:sz w:val="24"/>
              </w:rPr>
            </w:pPr>
          </w:p>
        </w:tc>
        <w:tc>
          <w:tcPr>
            <w:tcW w:w="2693" w:type="dxa"/>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居住建筑</w:t>
            </w:r>
          </w:p>
        </w:tc>
        <w:tc>
          <w:tcPr>
            <w:tcW w:w="2694" w:type="dxa"/>
            <w:shd w:val="clear" w:color="auto" w:fill="auto"/>
            <w:vAlign w:val="center"/>
          </w:tcPr>
          <w:p>
            <w:pPr>
              <w:widowControl/>
              <w:jc w:val="center"/>
              <w:rPr>
                <w:rFonts w:hint="eastAsia" w:ascii="宋体" w:hAnsi="宋体" w:eastAsia="宋体" w:cs="宋体"/>
                <w:b/>
                <w:bCs/>
                <w:sz w:val="24"/>
              </w:rPr>
            </w:pPr>
            <w:r>
              <w:rPr>
                <w:rFonts w:hint="eastAsia" w:ascii="宋体" w:hAnsi="宋体" w:eastAsia="宋体" w:cs="宋体"/>
                <w:b/>
                <w:bCs/>
                <w:sz w:val="24"/>
              </w:rPr>
              <w:t>公共建筑</w:t>
            </w:r>
          </w:p>
        </w:tc>
        <w:tc>
          <w:tcPr>
            <w:tcW w:w="1184" w:type="dxa"/>
            <w:vMerge w:val="continue"/>
            <w:shd w:val="clear" w:color="auto" w:fill="auto"/>
            <w:vAlign w:val="center"/>
          </w:tcPr>
          <w:p>
            <w:pPr>
              <w:widowControl/>
              <w:jc w:val="center"/>
              <w:rPr>
                <w:rFonts w:hint="eastAsia" w:ascii="仿宋_GB2312" w:hAnsi="仿宋_GB2312" w:eastAsia="仿宋_GB2312" w:cs="仿宋_GB2312"/>
                <w:b/>
                <w:bCs/>
                <w:sz w:val="24"/>
              </w:rPr>
            </w:pPr>
          </w:p>
        </w:tc>
        <w:tc>
          <w:tcPr>
            <w:tcW w:w="1184" w:type="dxa"/>
            <w:vMerge w:val="continue"/>
            <w:vAlign w:val="center"/>
          </w:tcPr>
          <w:p>
            <w:pPr>
              <w:widowControl/>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既有建筑碳排放总量下降率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单位建筑面积碳排放量</w:t>
            </w:r>
          </w:p>
        </w:tc>
        <w:tc>
          <w:tcPr>
            <w:tcW w:w="5387" w:type="dxa"/>
            <w:gridSpan w:val="2"/>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≤近零碳排放建筑单位建筑面积碳排放量</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建筑综合节能率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建筑本体节能率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可再生能源利用率</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2693"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2693"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22" w:type="dxa"/>
            <w:gridSpan w:val="4"/>
            <w:shd w:val="clear" w:color="auto" w:fill="auto"/>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p>
      <w:pPr>
        <w:snapToGrid w:val="0"/>
        <w:spacing w:before="156" w:beforeLines="50" w:after="156" w:afterLines="50"/>
        <w:jc w:val="center"/>
        <w:rPr>
          <w:rFonts w:hint="eastAsia" w:ascii="仿宋_GB2312" w:hAnsi="仿宋_GB2312" w:eastAsia="仿宋_GB2312" w:cs="仿宋_GB2312"/>
          <w:sz w:val="32"/>
          <w:szCs w:val="32"/>
        </w:rPr>
      </w:pPr>
      <w:r>
        <w:rPr>
          <w:rFonts w:hint="eastAsia" w:ascii="黑体" w:hAnsi="黑体" w:eastAsia="黑体" w:cs="黑体"/>
          <w:sz w:val="28"/>
          <w:szCs w:val="32"/>
        </w:rPr>
        <w:t>表6 近零碳排放企业试点主要指标体系与分数设置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15"/>
        <w:gridCol w:w="1170"/>
        <w:gridCol w:w="2694"/>
        <w:gridCol w:w="1184"/>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959"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一级</w:t>
            </w:r>
          </w:p>
          <w:p>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2515"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170"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2694"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shd w:val="clear" w:color="auto" w:fill="auto"/>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Align w:val="center"/>
          </w:tcPr>
          <w:p>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企业碳排放总量下降率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企业单位产值或单位工业增加值碳排放量下降率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低于《民用建筑能耗标准》GB/T</w:t>
            </w:r>
            <w:r>
              <w:rPr>
                <w:rFonts w:ascii="仿宋_GB2312" w:hAnsi="仿宋_GB2312" w:eastAsia="仿宋_GB2312" w:cs="仿宋_GB2312"/>
                <w:sz w:val="24"/>
              </w:rPr>
              <w:t xml:space="preserve"> </w:t>
            </w:r>
            <w:r>
              <w:rPr>
                <w:rFonts w:hint="eastAsia" w:ascii="仿宋_GB2312" w:hAnsi="仿宋_GB2312" w:eastAsia="仿宋_GB2312" w:cs="仿宋_GB2312"/>
                <w:sz w:val="24"/>
              </w:rPr>
              <w:t>51161-2016引导值</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企业自有新能源汽车占比</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一般工业固体废物综合利用率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工业用水重复利用率</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对外组织相关低碳培训、承办相关低碳活动，每年次数≥2次</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碳披露</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编制企业可持续发展报告，每年定期向社会公布企业能源、碳排放、污染物排放等情况</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pPr>
              <w:snapToGrid w:val="0"/>
              <w:jc w:val="center"/>
              <w:rPr>
                <w:rFonts w:hint="eastAsia" w:ascii="仿宋_GB2312" w:hAnsi="仿宋_GB2312" w:eastAsia="仿宋_GB2312" w:cs="仿宋_GB2312"/>
                <w:sz w:val="24"/>
              </w:rPr>
            </w:pPr>
          </w:p>
        </w:tc>
        <w:tc>
          <w:tcPr>
            <w:tcW w:w="2515"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员工碳排放管理</w:t>
            </w:r>
          </w:p>
        </w:tc>
        <w:tc>
          <w:tcPr>
            <w:tcW w:w="1170"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pPr>
              <w:snapToGrid w:val="0"/>
              <w:jc w:val="center"/>
              <w:rPr>
                <w:rFonts w:hint="eastAsia" w:ascii="仿宋_GB2312" w:hAnsi="仿宋_GB2312" w:eastAsia="仿宋_GB2312" w:cs="仿宋_GB2312"/>
                <w:b/>
                <w:color w:val="FF0000"/>
                <w:sz w:val="24"/>
              </w:rPr>
            </w:pPr>
            <w:r>
              <w:rPr>
                <w:rFonts w:hint="eastAsia" w:ascii="仿宋_GB2312" w:hAnsi="仿宋_GB2312" w:eastAsia="仿宋_GB2312" w:cs="仿宋_GB2312"/>
                <w:sz w:val="24"/>
              </w:rPr>
              <w:t>空调温度不低于26℃；无纸化办公；人走灯关、电脑关、水龙头关</w:t>
            </w:r>
          </w:p>
        </w:tc>
        <w:tc>
          <w:tcPr>
            <w:tcW w:w="1184" w:type="dxa"/>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22" w:type="dxa"/>
            <w:gridSpan w:val="5"/>
            <w:shd w:val="clear" w:color="auto" w:fill="auto"/>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pPr>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U5YTU2MzA3MTg2MmYzZTY2NmMyYmFlN2JhOTUifQ=="/>
  </w:docVars>
  <w:rsids>
    <w:rsidRoot w:val="5CFBB468"/>
    <w:rsid w:val="00003E75"/>
    <w:rsid w:val="0005767B"/>
    <w:rsid w:val="0009414F"/>
    <w:rsid w:val="00094ECD"/>
    <w:rsid w:val="00097683"/>
    <w:rsid w:val="000A0C28"/>
    <w:rsid w:val="000A54FB"/>
    <w:rsid w:val="000B5E13"/>
    <w:rsid w:val="00162D4A"/>
    <w:rsid w:val="00162FCD"/>
    <w:rsid w:val="001A3E19"/>
    <w:rsid w:val="001E6C61"/>
    <w:rsid w:val="002233B3"/>
    <w:rsid w:val="00247219"/>
    <w:rsid w:val="00260F93"/>
    <w:rsid w:val="002623D9"/>
    <w:rsid w:val="002655C7"/>
    <w:rsid w:val="00282EB1"/>
    <w:rsid w:val="002B3975"/>
    <w:rsid w:val="002D3AE8"/>
    <w:rsid w:val="002D7017"/>
    <w:rsid w:val="002F0E68"/>
    <w:rsid w:val="00323860"/>
    <w:rsid w:val="00324775"/>
    <w:rsid w:val="0034096E"/>
    <w:rsid w:val="00356500"/>
    <w:rsid w:val="003565C7"/>
    <w:rsid w:val="003E17C9"/>
    <w:rsid w:val="003F517E"/>
    <w:rsid w:val="004678D0"/>
    <w:rsid w:val="004C7441"/>
    <w:rsid w:val="00512148"/>
    <w:rsid w:val="00523CB4"/>
    <w:rsid w:val="00527543"/>
    <w:rsid w:val="00542A0D"/>
    <w:rsid w:val="00543C71"/>
    <w:rsid w:val="005744DF"/>
    <w:rsid w:val="005856D2"/>
    <w:rsid w:val="005979F5"/>
    <w:rsid w:val="005B4F82"/>
    <w:rsid w:val="005E2C21"/>
    <w:rsid w:val="005E68CD"/>
    <w:rsid w:val="00621F63"/>
    <w:rsid w:val="006307A8"/>
    <w:rsid w:val="0067023B"/>
    <w:rsid w:val="006D1A3E"/>
    <w:rsid w:val="0074341C"/>
    <w:rsid w:val="007A1746"/>
    <w:rsid w:val="00845C84"/>
    <w:rsid w:val="00863340"/>
    <w:rsid w:val="00874650"/>
    <w:rsid w:val="008B138D"/>
    <w:rsid w:val="008D52D0"/>
    <w:rsid w:val="008E1F11"/>
    <w:rsid w:val="008E71B3"/>
    <w:rsid w:val="008F72D8"/>
    <w:rsid w:val="0090113D"/>
    <w:rsid w:val="0090628B"/>
    <w:rsid w:val="0092228E"/>
    <w:rsid w:val="00935727"/>
    <w:rsid w:val="0095739B"/>
    <w:rsid w:val="00A005FD"/>
    <w:rsid w:val="00A6169D"/>
    <w:rsid w:val="00A67D18"/>
    <w:rsid w:val="00B31FDE"/>
    <w:rsid w:val="00B516BF"/>
    <w:rsid w:val="00B51933"/>
    <w:rsid w:val="00B54AAA"/>
    <w:rsid w:val="00B66564"/>
    <w:rsid w:val="00B9263D"/>
    <w:rsid w:val="00BA63D9"/>
    <w:rsid w:val="00BA7A08"/>
    <w:rsid w:val="00BF29FD"/>
    <w:rsid w:val="00C07D0C"/>
    <w:rsid w:val="00C16B42"/>
    <w:rsid w:val="00C67C76"/>
    <w:rsid w:val="00C72753"/>
    <w:rsid w:val="00C97637"/>
    <w:rsid w:val="00CC37D2"/>
    <w:rsid w:val="00D0021C"/>
    <w:rsid w:val="00DE5518"/>
    <w:rsid w:val="00E33AD2"/>
    <w:rsid w:val="00EC4311"/>
    <w:rsid w:val="00ED5204"/>
    <w:rsid w:val="00EF776E"/>
    <w:rsid w:val="00F239B6"/>
    <w:rsid w:val="00F35B14"/>
    <w:rsid w:val="00F470B1"/>
    <w:rsid w:val="00F53E06"/>
    <w:rsid w:val="00F82087"/>
    <w:rsid w:val="00F822F6"/>
    <w:rsid w:val="00F94226"/>
    <w:rsid w:val="00FF0BDF"/>
    <w:rsid w:val="00FF13D9"/>
    <w:rsid w:val="01121A1D"/>
    <w:rsid w:val="15123F30"/>
    <w:rsid w:val="18950E10"/>
    <w:rsid w:val="1CADECA9"/>
    <w:rsid w:val="1E8238B0"/>
    <w:rsid w:val="1F6B4D68"/>
    <w:rsid w:val="23FD51FE"/>
    <w:rsid w:val="2B6ED3C1"/>
    <w:rsid w:val="329D31C6"/>
    <w:rsid w:val="4FD8492D"/>
    <w:rsid w:val="517F71DA"/>
    <w:rsid w:val="55FB7ACF"/>
    <w:rsid w:val="5CFBB468"/>
    <w:rsid w:val="69801C11"/>
    <w:rsid w:val="69F67328"/>
    <w:rsid w:val="6D11337C"/>
    <w:rsid w:val="6E4E6CE6"/>
    <w:rsid w:val="6EBF0207"/>
    <w:rsid w:val="72AC509E"/>
    <w:rsid w:val="73006109"/>
    <w:rsid w:val="73D34E7D"/>
    <w:rsid w:val="7CEFD2E1"/>
    <w:rsid w:val="7DFB97CC"/>
    <w:rsid w:val="7E7E4841"/>
    <w:rsid w:val="7EAE0B2A"/>
    <w:rsid w:val="7EFF2467"/>
    <w:rsid w:val="7F7D564B"/>
    <w:rsid w:val="7FFFD49C"/>
    <w:rsid w:val="9DF729FA"/>
    <w:rsid w:val="9ECBC16A"/>
    <w:rsid w:val="BF771A64"/>
    <w:rsid w:val="BF7E7064"/>
    <w:rsid w:val="BFDE3DD6"/>
    <w:rsid w:val="BFEFD5B9"/>
    <w:rsid w:val="CA7E5CBE"/>
    <w:rsid w:val="CDBFE37E"/>
    <w:rsid w:val="CFFDCFD2"/>
    <w:rsid w:val="E3ED5021"/>
    <w:rsid w:val="F6AF74C5"/>
    <w:rsid w:val="F77F8037"/>
    <w:rsid w:val="F7FFEE5E"/>
    <w:rsid w:val="FAEE7A03"/>
    <w:rsid w:val="FBF78303"/>
    <w:rsid w:val="FBFF4E8D"/>
    <w:rsid w:val="FDA6779D"/>
    <w:rsid w:val="FEFF72AC"/>
    <w:rsid w:val="FF2D260C"/>
    <w:rsid w:val="FF9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link w:val="15"/>
    <w:semiHidden/>
    <w:unhideWhenUsed/>
    <w:qFormat/>
    <w:uiPriority w:val="0"/>
    <w:pPr>
      <w:keepNext/>
      <w:keepLines/>
      <w:spacing w:before="260" w:after="260" w:line="415" w:lineRule="auto"/>
      <w:outlineLvl w:val="2"/>
    </w:pPr>
    <w:rPr>
      <w:rFonts w:hint="eastAsia" w:ascii="等线" w:hAnsi="等线" w:eastAsia="等线" w:cs="Times New Roman"/>
      <w:b/>
      <w:bCs/>
      <w:sz w:val="32"/>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标题 3 字符"/>
    <w:basedOn w:val="11"/>
    <w:link w:val="3"/>
    <w:qFormat/>
    <w:uiPriority w:val="0"/>
    <w:rPr>
      <w:rFonts w:hint="eastAsia" w:ascii="等线" w:hAnsi="等线" w:eastAsia="等线" w:cs="等线"/>
      <w:b/>
      <w:bCs/>
      <w:kern w:val="2"/>
      <w:sz w:val="32"/>
      <w:szCs w:val="32"/>
      <w:lang w:val="en-US" w:eastAsia="zh-CN" w:bidi="ar"/>
    </w:rPr>
  </w:style>
  <w:style w:type="character" w:customStyle="1" w:styleId="16">
    <w:name w:val="标题 2 字符"/>
    <w:basedOn w:val="11"/>
    <w:link w:val="2"/>
    <w:qFormat/>
    <w:uiPriority w:val="0"/>
    <w:rPr>
      <w:rFonts w:hint="eastAsia" w:ascii="宋体" w:hAnsi="宋体" w:eastAsia="宋体" w:cs="宋体"/>
      <w:b/>
      <w:bCs/>
      <w:kern w:val="0"/>
      <w:sz w:val="36"/>
      <w:szCs w:val="36"/>
      <w:lang w:val="en-US" w:eastAsia="zh-CN" w:bidi="ar"/>
    </w:rPr>
  </w:style>
  <w:style w:type="character" w:customStyle="1" w:styleId="17">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8">
    <w:name w:val="页眉 字符"/>
    <w:basedOn w:val="11"/>
    <w:link w:val="6"/>
    <w:qFormat/>
    <w:uiPriority w:val="0"/>
    <w:rPr>
      <w:rFonts w:asciiTheme="minorHAnsi" w:hAnsiTheme="minorHAnsi" w:eastAsiaTheme="minorEastAsia" w:cstheme="minorBidi"/>
      <w:kern w:val="2"/>
      <w:sz w:val="18"/>
      <w:szCs w:val="18"/>
    </w:rPr>
  </w:style>
  <w:style w:type="character" w:customStyle="1" w:styleId="19">
    <w:name w:val="页脚 字符"/>
    <w:basedOn w:val="11"/>
    <w:link w:val="5"/>
    <w:qFormat/>
    <w:uiPriority w:val="0"/>
    <w:rPr>
      <w:rFonts w:asciiTheme="minorHAnsi" w:hAnsiTheme="minorHAnsi" w:eastAsiaTheme="minorEastAsia" w:cstheme="minorBidi"/>
      <w:kern w:val="2"/>
      <w:sz w:val="18"/>
      <w:szCs w:val="18"/>
    </w:rPr>
  </w:style>
  <w:style w:type="table" w:customStyle="1" w:styleId="20">
    <w:name w:val="网格型4"/>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IBRPC</Company>
  <Pages>10</Pages>
  <Words>6869</Words>
  <Characters>7388</Characters>
  <Lines>66</Lines>
  <Paragraphs>18</Paragraphs>
  <TotalTime>41</TotalTime>
  <ScaleCrop>false</ScaleCrop>
  <LinksUpToDate>false</LinksUpToDate>
  <CharactersWithSpaces>7572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2024-07-02T17:08:00Z</dcterms:created>
  <dc:creator>CastDown</dc:creator>
  <cp:lastModifiedBy>jiangliwei</cp:lastModifiedBy>
  <cp:lastPrinted>2024-06-26T06:45:00Z</cp:lastPrinted>
  <dcterms:modified xsi:type="dcterms:W3CDTF">2024-08-13T10:09:26Z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3BD89EE86E004707967C17308917CDFA_13</vt:lpwstr>
  </property>
</Properties>
</file>