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firstLine="562"/>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电动自行车用锂离子蓄电池</w:t>
      </w:r>
      <w:bookmarkStart w:id="0" w:name="_GoBack"/>
      <w:bookmarkEnd w:id="0"/>
      <w:r>
        <w:rPr>
          <w:rFonts w:hint="eastAsia" w:ascii="宋体" w:hAnsi="宋体" w:cs="宋体"/>
          <w:b/>
          <w:bCs/>
          <w:color w:val="000000"/>
          <w:kern w:val="0"/>
          <w:sz w:val="28"/>
          <w:szCs w:val="28"/>
        </w:rPr>
        <w:t>产品质量</w:t>
      </w:r>
    </w:p>
    <w:p>
      <w:pPr>
        <w:widowControl/>
        <w:spacing w:line="560" w:lineRule="atLeast"/>
        <w:ind w:firstLine="562"/>
        <w:jc w:val="center"/>
        <w:rPr>
          <w:rFonts w:ascii="宋体"/>
          <w:b/>
          <w:bCs/>
          <w:color w:val="000000"/>
          <w:kern w:val="0"/>
          <w:sz w:val="28"/>
          <w:szCs w:val="28"/>
        </w:rPr>
      </w:pPr>
      <w:r>
        <w:rPr>
          <w:rFonts w:hint="eastAsia" w:ascii="宋体" w:hAnsi="宋体" w:cs="宋体"/>
          <w:b/>
          <w:bCs/>
          <w:color w:val="000000"/>
          <w:kern w:val="0"/>
          <w:sz w:val="28"/>
          <w:szCs w:val="28"/>
        </w:rPr>
        <w:t>市级监督抽查实施细则</w:t>
      </w:r>
    </w:p>
    <w:p>
      <w:pPr>
        <w:widowControl/>
        <w:spacing w:line="560" w:lineRule="atLeast"/>
        <w:ind w:firstLine="402"/>
        <w:jc w:val="left"/>
        <w:rPr>
          <w:rFonts w:ascii="微软雅黑" w:hAnsi="微软雅黑" w:eastAsia="微软雅黑"/>
          <w:color w:val="333333"/>
          <w:sz w:val="20"/>
          <w:szCs w:val="20"/>
        </w:rPr>
      </w:pPr>
      <w:r>
        <w:rPr>
          <w:rFonts w:ascii="宋体" w:hAnsi="宋体" w:cs="宋体"/>
          <w:b/>
          <w:bCs/>
          <w:color w:val="000000"/>
          <w:kern w:val="0"/>
          <w:sz w:val="20"/>
          <w:szCs w:val="20"/>
        </w:rPr>
        <w:t xml:space="preserve">1. </w:t>
      </w:r>
      <w:r>
        <w:rPr>
          <w:rFonts w:hint="eastAsia" w:ascii="宋体" w:hAnsi="宋体" w:cs="宋体"/>
          <w:b/>
          <w:bCs/>
          <w:color w:val="000000"/>
          <w:kern w:val="0"/>
          <w:sz w:val="20"/>
          <w:szCs w:val="20"/>
        </w:rPr>
        <w:t>抽样方法</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以随机抽样的方式在被抽样生产者、销售者的待销产品中抽取。</w:t>
      </w:r>
      <w:r>
        <w:rPr>
          <w:rFonts w:ascii="宋体" w:hAnsi="宋体" w:cs="宋体"/>
          <w:color w:val="000000"/>
          <w:kern w:val="0"/>
          <w:sz w:val="20"/>
          <w:szCs w:val="20"/>
        </w:rPr>
        <w:t xml:space="preserve"> </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随机数一般可使用随机数表、骰子或扑克牌等方法产生。</w:t>
      </w:r>
      <w:r>
        <w:rPr>
          <w:rFonts w:ascii="宋体" w:hAnsi="宋体" w:cs="宋体"/>
          <w:color w:val="000000"/>
          <w:kern w:val="0"/>
          <w:sz w:val="20"/>
          <w:szCs w:val="20"/>
        </w:rPr>
        <w:t xml:space="preserve"> </w:t>
      </w:r>
    </w:p>
    <w:p>
      <w:pPr>
        <w:widowControl/>
        <w:spacing w:line="360" w:lineRule="auto"/>
        <w:ind w:firstLine="400" w:firstLineChars="200"/>
        <w:jc w:val="left"/>
      </w:pPr>
      <w:r>
        <w:rPr>
          <w:rFonts w:hint="eastAsia" w:ascii="宋体" w:hAnsi="宋体" w:cs="宋体"/>
          <w:color w:val="000000"/>
          <w:kern w:val="0"/>
          <w:sz w:val="20"/>
          <w:szCs w:val="20"/>
        </w:rPr>
        <w:t>每批次成人产品抽取样品</w:t>
      </w:r>
      <w:r>
        <w:rPr>
          <w:rFonts w:hint="eastAsia" w:ascii="宋体" w:hAnsi="宋体" w:cs="宋体"/>
          <w:color w:val="000000"/>
          <w:kern w:val="0"/>
          <w:sz w:val="20"/>
          <w:szCs w:val="20"/>
          <w:lang w:val="en-US" w:eastAsia="zh-CN"/>
        </w:rPr>
        <w:t>2组</w:t>
      </w:r>
      <w:r>
        <w:rPr>
          <w:rFonts w:hint="eastAsia" w:ascii="宋体" w:hAnsi="宋体" w:cs="宋体"/>
          <w:color w:val="000000"/>
          <w:kern w:val="0"/>
          <w:sz w:val="20"/>
          <w:szCs w:val="20"/>
        </w:rPr>
        <w:t>，其中</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1组</w:t>
      </w:r>
      <w:r>
        <w:rPr>
          <w:rFonts w:hint="eastAsia" w:ascii="宋体" w:hAnsi="宋体" w:cs="宋体"/>
          <w:color w:val="000000"/>
          <w:kern w:val="0"/>
          <w:sz w:val="20"/>
          <w:szCs w:val="20"/>
        </w:rPr>
        <w:t>作为检验样品，</w:t>
      </w:r>
      <w:r>
        <w:rPr>
          <w:rFonts w:hint="eastAsia" w:ascii="宋体" w:hAnsi="宋体" w:cs="宋体"/>
          <w:color w:val="000000"/>
          <w:kern w:val="0"/>
          <w:sz w:val="20"/>
          <w:szCs w:val="20"/>
          <w:lang w:val="en-US" w:eastAsia="zh-CN"/>
        </w:rPr>
        <w:t>1组</w:t>
      </w:r>
      <w:r>
        <w:rPr>
          <w:rFonts w:hint="eastAsia" w:ascii="宋体" w:hAnsi="宋体" w:cs="宋体"/>
          <w:color w:val="000000"/>
          <w:kern w:val="0"/>
          <w:sz w:val="20"/>
          <w:szCs w:val="20"/>
        </w:rPr>
        <w:t>作为备用样品。</w:t>
      </w:r>
    </w:p>
    <w:p>
      <w:pPr>
        <w:widowControl/>
        <w:spacing w:line="360" w:lineRule="auto"/>
        <w:ind w:firstLine="402"/>
        <w:jc w:val="left"/>
        <w:rPr>
          <w:rFonts w:ascii="宋体"/>
          <w:b/>
          <w:bCs/>
        </w:rPr>
      </w:pPr>
      <w:r>
        <w:rPr>
          <w:rFonts w:ascii="宋体" w:hAnsi="宋体" w:cs="宋体"/>
          <w:b/>
          <w:bCs/>
          <w:color w:val="000000"/>
          <w:kern w:val="0"/>
          <w:sz w:val="20"/>
          <w:szCs w:val="20"/>
        </w:rPr>
        <w:t>2</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检验依据</w:t>
      </w:r>
      <w:r>
        <w:rPr>
          <w:rFonts w:ascii="宋体" w:hAnsi="宋体" w:cs="宋体"/>
          <w:b/>
          <w:bCs/>
          <w:color w:val="000000"/>
          <w:kern w:val="0"/>
          <w:sz w:val="20"/>
          <w:szCs w:val="20"/>
        </w:rPr>
        <w:t xml:space="preserve"> </w:t>
      </w:r>
    </w:p>
    <w:p>
      <w:pPr>
        <w:widowControl/>
        <w:spacing w:line="360" w:lineRule="auto"/>
        <w:jc w:val="center"/>
        <w:rPr>
          <w:rFonts w:ascii="宋体"/>
          <w:b/>
          <w:bCs/>
          <w:color w:val="000000"/>
          <w:kern w:val="0"/>
          <w:sz w:val="20"/>
          <w:szCs w:val="20"/>
        </w:rPr>
      </w:pPr>
      <w:r>
        <w:rPr>
          <w:rFonts w:hint="eastAsia" w:ascii="宋体" w:hAnsi="宋体" w:cs="宋体"/>
          <w:b/>
          <w:bCs/>
          <w:color w:val="000000"/>
          <w:kern w:val="0"/>
          <w:sz w:val="20"/>
          <w:szCs w:val="20"/>
        </w:rPr>
        <w:t>表</w:t>
      </w:r>
      <w:r>
        <w:rPr>
          <w:rFonts w:ascii="宋体" w:hAnsi="宋体" w:cs="宋体"/>
          <w:b/>
          <w:bCs/>
          <w:color w:val="000000"/>
          <w:kern w:val="0"/>
          <w:sz w:val="20"/>
          <w:szCs w:val="20"/>
        </w:rPr>
        <w:t xml:space="preserve"> 1 </w:t>
      </w:r>
      <w:r>
        <w:rPr>
          <w:rFonts w:hint="eastAsia" w:ascii="宋体" w:hAnsi="宋体" w:cs="宋体"/>
          <w:b/>
          <w:bCs/>
          <w:color w:val="000000"/>
          <w:kern w:val="0"/>
          <w:sz w:val="20"/>
          <w:szCs w:val="20"/>
        </w:rPr>
        <w:t>电动自行车用锂离子蓄电池检验项目</w:t>
      </w:r>
    </w:p>
    <w:tbl>
      <w:tblPr>
        <w:tblStyle w:val="4"/>
        <w:tblW w:w="8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4002"/>
        <w:gridCol w:w="2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pPr>
              <w:keepNext w:val="0"/>
              <w:keepLines w:val="0"/>
              <w:pageBreakBefore w:val="0"/>
              <w:kinsoku/>
              <w:wordWrap/>
              <w:overflowPunct/>
              <w:topLinePunct w:val="0"/>
              <w:autoSpaceDE/>
              <w:autoSpaceDN/>
              <w:bidi w:val="0"/>
              <w:adjustRightInd/>
              <w:snapToGrid/>
              <w:spacing w:before="212" w:line="360" w:lineRule="auto"/>
              <w:ind w:left="0"/>
              <w:jc w:val="center"/>
              <w:rPr>
                <w:rFonts w:ascii="宋体"/>
                <w:sz w:val="22"/>
                <w:szCs w:val="22"/>
              </w:rPr>
            </w:pPr>
            <w:r>
              <w:rPr>
                <w:rFonts w:hint="eastAsia" w:ascii="宋体" w:hAnsi="宋体" w:cs="宋体"/>
                <w:spacing w:val="5"/>
                <w:sz w:val="22"/>
                <w:szCs w:val="22"/>
              </w:rPr>
              <w:t>序</w:t>
            </w:r>
            <w:r>
              <w:rPr>
                <w:rFonts w:hint="eastAsia" w:ascii="宋体" w:hAnsi="宋体" w:cs="宋体"/>
                <w:spacing w:val="4"/>
                <w:sz w:val="22"/>
                <w:szCs w:val="22"/>
              </w:rPr>
              <w:t>号</w:t>
            </w:r>
          </w:p>
        </w:tc>
        <w:tc>
          <w:tcPr>
            <w:tcW w:w="4002" w:type="dxa"/>
            <w:vAlign w:val="center"/>
          </w:tcPr>
          <w:p>
            <w:pPr>
              <w:keepNext w:val="0"/>
              <w:keepLines w:val="0"/>
              <w:pageBreakBefore w:val="0"/>
              <w:kinsoku/>
              <w:wordWrap/>
              <w:overflowPunct/>
              <w:topLinePunct w:val="0"/>
              <w:autoSpaceDE/>
              <w:autoSpaceDN/>
              <w:bidi w:val="0"/>
              <w:adjustRightInd/>
              <w:snapToGrid/>
              <w:spacing w:before="211" w:line="360" w:lineRule="auto"/>
              <w:ind w:left="0"/>
              <w:jc w:val="center"/>
              <w:rPr>
                <w:rFonts w:ascii="宋体"/>
                <w:sz w:val="22"/>
                <w:szCs w:val="22"/>
              </w:rPr>
            </w:pPr>
            <w:r>
              <w:rPr>
                <w:rFonts w:hint="eastAsia" w:ascii="宋体" w:hAnsi="宋体" w:cs="宋体"/>
                <w:spacing w:val="8"/>
                <w:sz w:val="22"/>
                <w:szCs w:val="22"/>
              </w:rPr>
              <w:t>检验项目</w:t>
            </w:r>
          </w:p>
        </w:tc>
        <w:tc>
          <w:tcPr>
            <w:tcW w:w="2805" w:type="dxa"/>
            <w:vAlign w:val="center"/>
          </w:tcPr>
          <w:p>
            <w:pPr>
              <w:keepNext w:val="0"/>
              <w:keepLines w:val="0"/>
              <w:pageBreakBefore w:val="0"/>
              <w:kinsoku/>
              <w:wordWrap/>
              <w:overflowPunct/>
              <w:topLinePunct w:val="0"/>
              <w:autoSpaceDE/>
              <w:autoSpaceDN/>
              <w:bidi w:val="0"/>
              <w:adjustRightInd/>
              <w:snapToGrid/>
              <w:spacing w:before="212" w:line="360" w:lineRule="auto"/>
              <w:ind w:left="0"/>
              <w:jc w:val="center"/>
              <w:rPr>
                <w:rFonts w:ascii="宋体"/>
                <w:sz w:val="22"/>
                <w:szCs w:val="22"/>
              </w:rPr>
            </w:pPr>
            <w:r>
              <w:rPr>
                <w:rFonts w:hint="eastAsia" w:ascii="宋体" w:hAnsi="宋体" w:cs="宋体"/>
                <w:spacing w:val="8"/>
                <w:sz w:val="22"/>
                <w:szCs w:val="2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pPr>
              <w:keepNext w:val="0"/>
              <w:keepLines w:val="0"/>
              <w:pageBreakBefore w:val="0"/>
              <w:kinsoku/>
              <w:wordWrap/>
              <w:overflowPunct/>
              <w:topLinePunct w:val="0"/>
              <w:autoSpaceDE/>
              <w:autoSpaceDN/>
              <w:bidi w:val="0"/>
              <w:adjustRightInd/>
              <w:snapToGrid/>
              <w:spacing w:before="179" w:line="360" w:lineRule="auto"/>
              <w:ind w:left="0"/>
              <w:jc w:val="center"/>
              <w:rPr>
                <w:rFonts w:ascii="宋体"/>
                <w:sz w:val="22"/>
                <w:szCs w:val="22"/>
              </w:rPr>
            </w:pPr>
            <w:r>
              <w:rPr>
                <w:rFonts w:ascii="宋体" w:hAnsi="宋体" w:cs="宋体"/>
                <w:sz w:val="22"/>
                <w:szCs w:val="22"/>
              </w:rPr>
              <w:t>1</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外形尺寸</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color w:val="000000"/>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kinsoku/>
              <w:wordWrap/>
              <w:overflowPunct/>
              <w:topLinePunct w:val="0"/>
              <w:autoSpaceDE/>
              <w:autoSpaceDN/>
              <w:bidi w:val="0"/>
              <w:adjustRightInd/>
              <w:snapToGrid/>
              <w:spacing w:before="181" w:line="360" w:lineRule="auto"/>
              <w:ind w:left="0"/>
              <w:jc w:val="center"/>
              <w:rPr>
                <w:rFonts w:ascii="宋体"/>
                <w:sz w:val="22"/>
                <w:szCs w:val="22"/>
              </w:rPr>
            </w:pPr>
            <w:r>
              <w:rPr>
                <w:rFonts w:ascii="宋体" w:hAnsi="宋体" w:cs="宋体"/>
                <w:sz w:val="22"/>
                <w:szCs w:val="22"/>
              </w:rPr>
              <w:t>2</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外观</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pPr>
              <w:keepNext w:val="0"/>
              <w:keepLines w:val="0"/>
              <w:pageBreakBefore w:val="0"/>
              <w:kinsoku/>
              <w:wordWrap/>
              <w:overflowPunct/>
              <w:topLinePunct w:val="0"/>
              <w:autoSpaceDE/>
              <w:autoSpaceDN/>
              <w:bidi w:val="0"/>
              <w:adjustRightInd/>
              <w:snapToGrid/>
              <w:spacing w:before="181" w:line="360" w:lineRule="auto"/>
              <w:ind w:left="0"/>
              <w:jc w:val="center"/>
              <w:rPr>
                <w:rFonts w:ascii="宋体"/>
                <w:sz w:val="22"/>
                <w:szCs w:val="22"/>
              </w:rPr>
            </w:pPr>
            <w:r>
              <w:rPr>
                <w:rFonts w:ascii="宋体" w:hAnsi="宋体" w:cs="宋体"/>
                <w:sz w:val="22"/>
                <w:szCs w:val="22"/>
              </w:rPr>
              <w:t>3</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I2A放电</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pPr>
              <w:keepNext w:val="0"/>
              <w:keepLines w:val="0"/>
              <w:pageBreakBefore w:val="0"/>
              <w:kinsoku/>
              <w:wordWrap/>
              <w:overflowPunct/>
              <w:topLinePunct w:val="0"/>
              <w:autoSpaceDE/>
              <w:autoSpaceDN/>
              <w:bidi w:val="0"/>
              <w:adjustRightInd/>
              <w:snapToGrid/>
              <w:spacing w:before="180" w:line="360" w:lineRule="auto"/>
              <w:ind w:left="0"/>
              <w:jc w:val="center"/>
              <w:rPr>
                <w:rFonts w:ascii="宋体"/>
                <w:sz w:val="22"/>
                <w:szCs w:val="22"/>
              </w:rPr>
            </w:pPr>
            <w:r>
              <w:rPr>
                <w:rFonts w:ascii="宋体" w:hAnsi="宋体" w:cs="宋体"/>
                <w:sz w:val="22"/>
                <w:szCs w:val="22"/>
              </w:rPr>
              <w:t>4</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静电放电</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pPr>
              <w:keepNext w:val="0"/>
              <w:keepLines w:val="0"/>
              <w:pageBreakBefore w:val="0"/>
              <w:kinsoku/>
              <w:wordWrap/>
              <w:overflowPunct/>
              <w:topLinePunct w:val="0"/>
              <w:autoSpaceDE/>
              <w:autoSpaceDN/>
              <w:bidi w:val="0"/>
              <w:adjustRightInd/>
              <w:snapToGrid/>
              <w:spacing w:before="183" w:line="360" w:lineRule="auto"/>
              <w:ind w:left="0"/>
              <w:jc w:val="center"/>
              <w:rPr>
                <w:rFonts w:ascii="宋体"/>
                <w:sz w:val="22"/>
                <w:szCs w:val="22"/>
              </w:rPr>
            </w:pPr>
            <w:r>
              <w:rPr>
                <w:rFonts w:ascii="宋体" w:hAnsi="宋体" w:cs="宋体"/>
                <w:sz w:val="22"/>
                <w:szCs w:val="22"/>
              </w:rPr>
              <w:t>5</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放电过流保护</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kinsoku/>
              <w:wordWrap/>
              <w:overflowPunct/>
              <w:topLinePunct w:val="0"/>
              <w:autoSpaceDE/>
              <w:autoSpaceDN/>
              <w:bidi w:val="0"/>
              <w:adjustRightInd/>
              <w:snapToGrid/>
              <w:spacing w:before="182" w:line="360" w:lineRule="auto"/>
              <w:ind w:left="0"/>
              <w:jc w:val="center"/>
              <w:rPr>
                <w:rFonts w:ascii="宋体"/>
                <w:sz w:val="22"/>
                <w:szCs w:val="22"/>
              </w:rPr>
            </w:pPr>
            <w:r>
              <w:rPr>
                <w:rFonts w:ascii="宋体" w:hAnsi="宋体" w:cs="宋体"/>
                <w:sz w:val="22"/>
                <w:szCs w:val="22"/>
              </w:rPr>
              <w:t>6</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过充电保护</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kinsoku/>
              <w:wordWrap/>
              <w:overflowPunct/>
              <w:topLinePunct w:val="0"/>
              <w:autoSpaceDE/>
              <w:autoSpaceDN/>
              <w:bidi w:val="0"/>
              <w:adjustRightInd/>
              <w:snapToGrid/>
              <w:spacing w:before="182" w:line="360" w:lineRule="auto"/>
              <w:ind w:left="0"/>
              <w:jc w:val="center"/>
              <w:rPr>
                <w:rFonts w:ascii="宋体"/>
                <w:sz w:val="22"/>
                <w:szCs w:val="22"/>
              </w:rPr>
            </w:pPr>
            <w:r>
              <w:rPr>
                <w:rFonts w:ascii="宋体" w:hAnsi="宋体" w:cs="宋体"/>
                <w:sz w:val="22"/>
                <w:szCs w:val="22"/>
              </w:rPr>
              <w:t>7</w:t>
            </w:r>
          </w:p>
        </w:tc>
        <w:tc>
          <w:tcPr>
            <w:tcW w:w="4002" w:type="dxa"/>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ascii="宋体"/>
                <w:sz w:val="22"/>
                <w:szCs w:val="22"/>
              </w:rPr>
            </w:pPr>
            <w:r>
              <w:rPr>
                <w:rFonts w:hint="eastAsia"/>
              </w:rPr>
              <w:t>过放电保护</w:t>
            </w:r>
          </w:p>
        </w:tc>
        <w:tc>
          <w:tcPr>
            <w:tcW w:w="2805" w:type="dxa"/>
            <w:vAlign w:val="center"/>
          </w:tcPr>
          <w:p>
            <w:pPr>
              <w:keepNext w:val="0"/>
              <w:keepLines w:val="0"/>
              <w:pageBreakBefore w:val="0"/>
              <w:widowControl/>
              <w:kinsoku/>
              <w:wordWrap/>
              <w:overflowPunct/>
              <w:topLinePunct w:val="0"/>
              <w:autoSpaceDE/>
              <w:autoSpaceDN/>
              <w:bidi w:val="0"/>
              <w:adjustRightInd/>
              <w:snapToGrid/>
              <w:ind w:left="0"/>
              <w:jc w:val="center"/>
              <w:textAlignment w:val="bottom"/>
              <w:rPr>
                <w:rFonts w:ascii="宋体"/>
                <w:sz w:val="22"/>
                <w:szCs w:val="22"/>
              </w:rPr>
            </w:pPr>
            <w:r>
              <w:rPr>
                <w:rFonts w:hint="eastAsia" w:ascii="宋体"/>
                <w:color w:val="000000"/>
                <w:sz w:val="22"/>
                <w:szCs w:val="22"/>
              </w:rPr>
              <w:t>GB/T 36972-2018</w:t>
            </w:r>
          </w:p>
        </w:tc>
      </w:tr>
    </w:tbl>
    <w:p>
      <w:pPr>
        <w:widowControl/>
        <w:spacing w:line="360" w:lineRule="auto"/>
        <w:jc w:val="left"/>
        <w:rPr>
          <w:rFonts w:ascii="宋体"/>
          <w:color w:val="000000"/>
          <w:kern w:val="0"/>
          <w:sz w:val="20"/>
          <w:szCs w:val="20"/>
        </w:rPr>
      </w:pP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注：</w:t>
      </w:r>
      <w:r>
        <w:rPr>
          <w:rFonts w:ascii="宋体" w:hAnsi="宋体" w:cs="宋体"/>
          <w:color w:val="000000"/>
          <w:kern w:val="0"/>
          <w:sz w:val="20"/>
          <w:szCs w:val="20"/>
        </w:rPr>
        <w:t>1.</w:t>
      </w:r>
      <w:r>
        <w:rPr>
          <w:rFonts w:hint="eastAsia" w:ascii="宋体" w:hAnsi="宋体" w:cs="宋体"/>
          <w:color w:val="000000"/>
          <w:kern w:val="0"/>
          <w:sz w:val="20"/>
          <w:szCs w:val="20"/>
        </w:rPr>
        <w:t>执行企业标准、团体标准、地方标准的产品，检验项目参照上述内容执行。</w:t>
      </w:r>
      <w:r>
        <w:rPr>
          <w:rFonts w:ascii="宋体" w:hAnsi="宋体" w:cs="宋体"/>
          <w:color w:val="000000"/>
          <w:kern w:val="0"/>
          <w:sz w:val="20"/>
          <w:szCs w:val="20"/>
        </w:rPr>
        <w:t xml:space="preserve"> </w:t>
      </w:r>
    </w:p>
    <w:p>
      <w:pPr>
        <w:widowControl/>
        <w:spacing w:line="360" w:lineRule="auto"/>
        <w:ind w:firstLine="402"/>
        <w:jc w:val="left"/>
        <w:rPr>
          <w:rFonts w:ascii="宋体"/>
          <w:b/>
          <w:bCs/>
        </w:rPr>
      </w:pPr>
      <w:r>
        <w:rPr>
          <w:rFonts w:ascii="宋体" w:hAnsi="宋体" w:cs="宋体"/>
          <w:b/>
          <w:bCs/>
          <w:color w:val="000000"/>
          <w:kern w:val="0"/>
          <w:sz w:val="20"/>
          <w:szCs w:val="20"/>
        </w:rPr>
        <w:t>3</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判定规则</w:t>
      </w:r>
      <w:r>
        <w:rPr>
          <w:rFonts w:ascii="宋体" w:hAnsi="宋体" w:cs="宋体"/>
          <w:b/>
          <w:bCs/>
          <w:color w:val="000000"/>
          <w:kern w:val="0"/>
          <w:sz w:val="20"/>
          <w:szCs w:val="20"/>
        </w:rPr>
        <w:t xml:space="preserve"> </w:t>
      </w:r>
    </w:p>
    <w:p>
      <w:pPr>
        <w:widowControl/>
        <w:spacing w:line="360" w:lineRule="auto"/>
        <w:ind w:firstLine="402"/>
        <w:jc w:val="left"/>
        <w:rPr>
          <w:rFonts w:ascii="宋体"/>
          <w:b/>
          <w:bCs/>
        </w:rPr>
      </w:pPr>
      <w:r>
        <w:rPr>
          <w:rFonts w:ascii="宋体" w:hAnsi="宋体" w:cs="宋体"/>
          <w:b/>
          <w:bCs/>
          <w:color w:val="000000"/>
          <w:kern w:val="0"/>
          <w:sz w:val="20"/>
          <w:szCs w:val="20"/>
        </w:rPr>
        <w:t xml:space="preserve">3.1 </w:t>
      </w:r>
      <w:r>
        <w:rPr>
          <w:rFonts w:hint="eastAsia" w:ascii="宋体" w:hAnsi="宋体" w:cs="宋体"/>
          <w:b/>
          <w:bCs/>
          <w:color w:val="000000"/>
          <w:kern w:val="0"/>
          <w:sz w:val="20"/>
          <w:szCs w:val="20"/>
        </w:rPr>
        <w:t>依据标准</w:t>
      </w:r>
      <w:r>
        <w:rPr>
          <w:rFonts w:ascii="宋体" w:hAnsi="宋体" w:cs="宋体"/>
          <w:b/>
          <w:bCs/>
          <w:color w:val="000000"/>
          <w:kern w:val="0"/>
          <w:sz w:val="20"/>
          <w:szCs w:val="20"/>
        </w:rPr>
        <w:t xml:space="preserve"> </w:t>
      </w:r>
    </w:p>
    <w:p>
      <w:pPr>
        <w:widowControl/>
        <w:spacing w:line="360" w:lineRule="auto"/>
        <w:jc w:val="left"/>
        <w:rPr>
          <w:rFonts w:ascii="宋体"/>
          <w:color w:val="000000"/>
          <w:kern w:val="0"/>
          <w:sz w:val="20"/>
          <w:szCs w:val="20"/>
        </w:rPr>
      </w:pPr>
      <w:r>
        <w:rPr>
          <w:rFonts w:hint="eastAsia" w:ascii="宋体" w:hAnsi="宋体" w:cs="宋体"/>
          <w:color w:val="000000"/>
          <w:kern w:val="0"/>
          <w:sz w:val="20"/>
          <w:szCs w:val="20"/>
        </w:rPr>
        <w:t>GB/T 36972-2018电动自行车用锂离子蓄电池</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现行有效的企业标准、团体标准、地方标准及产品明示质量要求。</w:t>
      </w:r>
      <w:r>
        <w:rPr>
          <w:rFonts w:ascii="宋体" w:hAnsi="宋体" w:cs="宋体"/>
          <w:color w:val="000000"/>
          <w:kern w:val="0"/>
          <w:sz w:val="20"/>
          <w:szCs w:val="20"/>
        </w:rPr>
        <w:t xml:space="preserve"> </w:t>
      </w:r>
    </w:p>
    <w:p>
      <w:pPr>
        <w:widowControl/>
        <w:spacing w:line="360" w:lineRule="auto"/>
        <w:ind w:firstLine="402"/>
        <w:jc w:val="left"/>
        <w:rPr>
          <w:rFonts w:ascii="黑体" w:hAnsi="宋体" w:eastAsia="黑体"/>
          <w:b/>
          <w:bCs/>
          <w:color w:val="000000"/>
          <w:kern w:val="0"/>
          <w:sz w:val="20"/>
          <w:szCs w:val="20"/>
        </w:rPr>
      </w:pPr>
      <w:r>
        <w:rPr>
          <w:rFonts w:ascii="黑体" w:hAnsi="宋体" w:eastAsia="黑体" w:cs="黑体"/>
          <w:b/>
          <w:bCs/>
          <w:color w:val="000000"/>
          <w:kern w:val="0"/>
          <w:sz w:val="20"/>
          <w:szCs w:val="20"/>
        </w:rPr>
        <w:t xml:space="preserve">3.2 </w:t>
      </w:r>
      <w:r>
        <w:rPr>
          <w:rFonts w:hint="eastAsia" w:ascii="黑体" w:hAnsi="宋体" w:eastAsia="黑体" w:cs="黑体"/>
          <w:b/>
          <w:bCs/>
          <w:color w:val="000000"/>
          <w:kern w:val="0"/>
          <w:sz w:val="20"/>
          <w:szCs w:val="20"/>
        </w:rPr>
        <w:t>判定原则</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经检验，检验项目全部合格，判定为被抽查产品所检项目未发现不合格；检验项目中任一项或一项以上不合格，判定为被抽查产品不合格。</w:t>
      </w:r>
      <w:r>
        <w:rPr>
          <w:rFonts w:ascii="宋体" w:hAnsi="宋体" w:cs="宋体"/>
          <w:color w:val="000000"/>
          <w:kern w:val="0"/>
          <w:sz w:val="20"/>
          <w:szCs w:val="20"/>
        </w:rPr>
        <w:t xml:space="preserve"> </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若被检产品明示的质量要求高于本细则中检验项目依据的标准要求时，应按被检产品明示的质量要求判定。</w:t>
      </w:r>
      <w:r>
        <w:rPr>
          <w:rFonts w:ascii="宋体" w:hAnsi="宋体" w:cs="宋体"/>
          <w:color w:val="000000"/>
          <w:kern w:val="0"/>
          <w:sz w:val="20"/>
          <w:szCs w:val="20"/>
        </w:rPr>
        <w:t xml:space="preserve"> </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若被检产品明示的质量要求低于本细则中检验项目依据的强制性标准要求时，应按照强制性标准要求判定。</w:t>
      </w:r>
      <w:r>
        <w:rPr>
          <w:rFonts w:ascii="宋体" w:hAnsi="宋体" w:cs="宋体"/>
          <w:color w:val="000000"/>
          <w:kern w:val="0"/>
          <w:sz w:val="20"/>
          <w:szCs w:val="20"/>
        </w:rPr>
        <w:t xml:space="preserve"> </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若被检产品明示的质量要求低于或包含本细则中检验项目依据的推荐性标准要求时，应以被检产品明示的质量要求判定（最小厚度及厚度项目除外），但应在检验报告备注中进行说明。</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若被检产品明示的质量要求缺少本细则中检验项目依据的强制性标准要求时，应按照强制性标准要求判定。</w:t>
      </w:r>
      <w:r>
        <w:rPr>
          <w:rFonts w:ascii="宋体" w:hAnsi="宋体" w:cs="宋体"/>
          <w:color w:val="000000"/>
          <w:kern w:val="0"/>
          <w:sz w:val="20"/>
          <w:szCs w:val="20"/>
        </w:rPr>
        <w:t xml:space="preserve"> </w:t>
      </w:r>
    </w:p>
    <w:p>
      <w:pPr>
        <w:widowControl/>
        <w:spacing w:line="360" w:lineRule="auto"/>
        <w:ind w:firstLine="400" w:firstLineChars="200"/>
        <w:jc w:val="left"/>
        <w:rPr>
          <w:rFonts w:ascii="宋体"/>
          <w:color w:val="000000"/>
          <w:kern w:val="0"/>
          <w:sz w:val="20"/>
          <w:szCs w:val="20"/>
        </w:rPr>
      </w:pPr>
      <w:r>
        <w:rPr>
          <w:rFonts w:hint="eastAsia" w:ascii="宋体" w:hAnsi="宋体" w:cs="宋体"/>
          <w:color w:val="000000"/>
          <w:kern w:val="0"/>
          <w:sz w:val="20"/>
          <w:szCs w:val="20"/>
        </w:rPr>
        <w:t>若被检产品明示的质量要求缺少本细则中检验项目依据的推荐性标准要求时，该项目不参与判定，但应在检验报告备注中进行说明。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jQ2NGU1ZGIyNWIwMjI4YzU2MTYzNjhlZTYxMWEifQ=="/>
  </w:docVars>
  <w:rsids>
    <w:rsidRoot w:val="008D172D"/>
    <w:rsid w:val="00041F91"/>
    <w:rsid w:val="000974C7"/>
    <w:rsid w:val="000F3B33"/>
    <w:rsid w:val="00133596"/>
    <w:rsid w:val="00172594"/>
    <w:rsid w:val="001E1C2C"/>
    <w:rsid w:val="001E4AD1"/>
    <w:rsid w:val="00271A86"/>
    <w:rsid w:val="002E0695"/>
    <w:rsid w:val="003118F7"/>
    <w:rsid w:val="00317FB7"/>
    <w:rsid w:val="0038797D"/>
    <w:rsid w:val="003D0841"/>
    <w:rsid w:val="003D57C5"/>
    <w:rsid w:val="00471023"/>
    <w:rsid w:val="004808EA"/>
    <w:rsid w:val="004B277B"/>
    <w:rsid w:val="004B3FBD"/>
    <w:rsid w:val="004B4614"/>
    <w:rsid w:val="004B4784"/>
    <w:rsid w:val="004F7B98"/>
    <w:rsid w:val="00563D7A"/>
    <w:rsid w:val="005876B9"/>
    <w:rsid w:val="005A01BB"/>
    <w:rsid w:val="005E65DE"/>
    <w:rsid w:val="00601FCF"/>
    <w:rsid w:val="00611FEB"/>
    <w:rsid w:val="0064571D"/>
    <w:rsid w:val="00681215"/>
    <w:rsid w:val="00804E60"/>
    <w:rsid w:val="0084692F"/>
    <w:rsid w:val="00847179"/>
    <w:rsid w:val="00854783"/>
    <w:rsid w:val="00862D56"/>
    <w:rsid w:val="0087043E"/>
    <w:rsid w:val="00893E45"/>
    <w:rsid w:val="008B3163"/>
    <w:rsid w:val="008C7B67"/>
    <w:rsid w:val="008D172D"/>
    <w:rsid w:val="00966516"/>
    <w:rsid w:val="009B203B"/>
    <w:rsid w:val="009D3AB5"/>
    <w:rsid w:val="00A173DD"/>
    <w:rsid w:val="00AD2328"/>
    <w:rsid w:val="00B05251"/>
    <w:rsid w:val="00B06D05"/>
    <w:rsid w:val="00B43770"/>
    <w:rsid w:val="00B631BF"/>
    <w:rsid w:val="00B64FE0"/>
    <w:rsid w:val="00C10FD1"/>
    <w:rsid w:val="00C53B00"/>
    <w:rsid w:val="00CE5C92"/>
    <w:rsid w:val="00CF5987"/>
    <w:rsid w:val="00D3709C"/>
    <w:rsid w:val="00D47478"/>
    <w:rsid w:val="00D56071"/>
    <w:rsid w:val="00DB167C"/>
    <w:rsid w:val="00E376B2"/>
    <w:rsid w:val="00EE56CC"/>
    <w:rsid w:val="00F90F7F"/>
    <w:rsid w:val="00FD10FF"/>
    <w:rsid w:val="010333FC"/>
    <w:rsid w:val="029A2159"/>
    <w:rsid w:val="02F72E56"/>
    <w:rsid w:val="0350044F"/>
    <w:rsid w:val="03E2379C"/>
    <w:rsid w:val="05B13426"/>
    <w:rsid w:val="06044D2A"/>
    <w:rsid w:val="064E6EC7"/>
    <w:rsid w:val="088968DD"/>
    <w:rsid w:val="08FA3336"/>
    <w:rsid w:val="0C85560D"/>
    <w:rsid w:val="0D676AC1"/>
    <w:rsid w:val="0DB429A2"/>
    <w:rsid w:val="0DB77A48"/>
    <w:rsid w:val="1057106E"/>
    <w:rsid w:val="1404150D"/>
    <w:rsid w:val="185A1264"/>
    <w:rsid w:val="1B5A7DEF"/>
    <w:rsid w:val="1CE343B6"/>
    <w:rsid w:val="1D796AC8"/>
    <w:rsid w:val="20E57FD0"/>
    <w:rsid w:val="21154D5A"/>
    <w:rsid w:val="21C4212B"/>
    <w:rsid w:val="227B6E3E"/>
    <w:rsid w:val="244D480A"/>
    <w:rsid w:val="28237D5C"/>
    <w:rsid w:val="2ADE440E"/>
    <w:rsid w:val="2B8A00F2"/>
    <w:rsid w:val="39BA6046"/>
    <w:rsid w:val="3BE70C49"/>
    <w:rsid w:val="3BEE0229"/>
    <w:rsid w:val="3D81721B"/>
    <w:rsid w:val="3E0755D2"/>
    <w:rsid w:val="3ECB6600"/>
    <w:rsid w:val="454669E0"/>
    <w:rsid w:val="46081EE8"/>
    <w:rsid w:val="49170DBF"/>
    <w:rsid w:val="49666E4F"/>
    <w:rsid w:val="4CD945DE"/>
    <w:rsid w:val="50D003CA"/>
    <w:rsid w:val="52343FCF"/>
    <w:rsid w:val="53277E51"/>
    <w:rsid w:val="54A31759"/>
    <w:rsid w:val="57C00874"/>
    <w:rsid w:val="58727DC0"/>
    <w:rsid w:val="58D740C7"/>
    <w:rsid w:val="5D14183F"/>
    <w:rsid w:val="5F8D1984"/>
    <w:rsid w:val="604F6C39"/>
    <w:rsid w:val="60D31618"/>
    <w:rsid w:val="643423CE"/>
    <w:rsid w:val="65200BA4"/>
    <w:rsid w:val="65833350"/>
    <w:rsid w:val="6FC429F6"/>
    <w:rsid w:val="71632544"/>
    <w:rsid w:val="71633B00"/>
    <w:rsid w:val="74477EFB"/>
    <w:rsid w:val="74850A24"/>
    <w:rsid w:val="74CC0400"/>
    <w:rsid w:val="75695C4F"/>
    <w:rsid w:val="773A3D47"/>
    <w:rsid w:val="780879A1"/>
    <w:rsid w:val="795F7A95"/>
    <w:rsid w:val="7BBF2A6D"/>
    <w:rsid w:val="7BE424D4"/>
    <w:rsid w:val="7C6E003E"/>
    <w:rsid w:val="7FAC47AB"/>
    <w:rsid w:val="E8DC61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Calibri"/>
      <w:kern w:val="2"/>
      <w:sz w:val="18"/>
      <w:szCs w:val="18"/>
    </w:rPr>
  </w:style>
  <w:style w:type="character" w:customStyle="1" w:styleId="8">
    <w:name w:val="Header Char"/>
    <w:basedOn w:val="6"/>
    <w:link w:val="3"/>
    <w:qFormat/>
    <w:locked/>
    <w:uiPriority w:val="99"/>
    <w:rPr>
      <w:rFonts w:ascii="Calibri" w:hAnsi="Calibri" w:eastAsia="宋体" w:cs="Calibri"/>
      <w:kern w:val="2"/>
      <w:sz w:val="18"/>
      <w:szCs w:val="18"/>
    </w:rPr>
  </w:style>
  <w:style w:type="table" w:customStyle="1" w:styleId="9">
    <w:name w:val="Table Normal1"/>
    <w:semiHidden/>
    <w:qFormat/>
    <w:uiPriority w:val="99"/>
    <w:rPr>
      <w:kern w:val="0"/>
      <w:sz w:val="20"/>
      <w:szCs w:val="20"/>
    </w:rPr>
    <w:tblPr>
      <w:tblCellMar>
        <w:top w:w="0" w:type="dxa"/>
        <w:left w:w="0" w:type="dxa"/>
        <w:bottom w:w="0" w:type="dxa"/>
        <w:right w:w="0" w:type="dxa"/>
      </w:tblCellMar>
    </w:tblPr>
  </w:style>
  <w:style w:type="paragraph" w:customStyle="1" w:styleId="10">
    <w:name w:val="列出段落1"/>
    <w:basedOn w:val="1"/>
    <w:qFormat/>
    <w:uiPriority w:val="99"/>
    <w:pPr>
      <w:ind w:firstLine="420" w:firstLineChars="200"/>
    </w:pPr>
  </w:style>
  <w:style w:type="paragraph" w:customStyle="1" w:styleId="11">
    <w:name w:val="Table Text"/>
    <w:basedOn w:val="1"/>
    <w:semiHidden/>
    <w:qFormat/>
    <w:uiPriority w:val="99"/>
    <w:pPr>
      <w:widowControl/>
      <w:kinsoku w:val="0"/>
      <w:autoSpaceDE w:val="0"/>
      <w:autoSpaceDN w:val="0"/>
      <w:adjustRightInd w:val="0"/>
      <w:snapToGrid w:val="0"/>
      <w:jc w:val="left"/>
      <w:textAlignment w:val="baseline"/>
    </w:pPr>
    <w:rPr>
      <w:rFonts w:ascii="宋体" w:hAnsi="宋体" w:cs="宋体"/>
      <w:color w:val="000000"/>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225</Words>
  <Characters>1285</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2024-08-08T08:55:00Z</dcterms:created>
  <dc:creator>wz</dc:creator>
  <cp:lastModifiedBy>user</cp:lastModifiedBy>
  <dcterms:modified xsi:type="dcterms:W3CDTF">2024-08-21T10:22:47Z</dcterms:modified>
  <dc:title>塑料垃圾袋产品质量市级监督抽查实施细则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C3AB0E1F482A4623B11EC0AC37B7724A_13</vt:lpwstr>
  </property>
</Properties>
</file>