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val="0"/>
        <w:topLinePunct/>
        <w:spacing w:line="700" w:lineRule="exact"/>
        <w:rPr>
          <w:rFonts w:ascii="Times New Roman" w:hAnsi="Times New Roman" w:eastAsia="宋体" w:cs="Times New Roman"/>
          <w:sz w:val="36"/>
          <w:szCs w:val="22"/>
        </w:rPr>
      </w:pPr>
    </w:p>
    <w:p>
      <w:pPr>
        <w:overflowPunct w:val="0"/>
        <w:topLinePunct/>
        <w:spacing w:line="700" w:lineRule="exact"/>
        <w:rPr>
          <w:rFonts w:eastAsia="宋体"/>
          <w:sz w:val="36"/>
          <w:szCs w:val="22"/>
        </w:rPr>
      </w:pPr>
    </w:p>
    <w:p>
      <w:pPr>
        <w:overflowPunct w:val="0"/>
        <w:topLinePunct/>
        <w:spacing w:line="700" w:lineRule="exact"/>
        <w:rPr>
          <w:rFonts w:eastAsia="宋体"/>
          <w:sz w:val="36"/>
          <w:szCs w:val="22"/>
        </w:rPr>
      </w:pPr>
    </w:p>
    <w:p>
      <w:pPr>
        <w:tabs>
          <w:tab w:val="left" w:pos="8400"/>
        </w:tabs>
        <w:overflowPunct w:val="0"/>
        <w:topLinePunct/>
        <w:spacing w:line="700" w:lineRule="exact"/>
        <w:jc w:val="center"/>
        <w:rPr>
          <w:rFonts w:eastAsia="方正小标宋简体"/>
          <w:kern w:val="0"/>
          <w:sz w:val="44"/>
          <w:szCs w:val="52"/>
        </w:rPr>
      </w:pPr>
      <w:bookmarkStart w:id="135" w:name="_GoBack"/>
      <w:r>
        <w:rPr>
          <w:rFonts w:hint="eastAsia" w:eastAsia="方正小标宋简体"/>
          <w:kern w:val="0"/>
          <w:sz w:val="44"/>
          <w:szCs w:val="52"/>
        </w:rPr>
        <w:t>四川省重污染天气金属表面处理及热处理</w:t>
      </w:r>
    </w:p>
    <w:p>
      <w:pPr>
        <w:tabs>
          <w:tab w:val="left" w:pos="8400"/>
        </w:tabs>
        <w:overflowPunct w:val="0"/>
        <w:topLinePunct/>
        <w:spacing w:line="700" w:lineRule="exact"/>
        <w:jc w:val="center"/>
        <w:rPr>
          <w:rFonts w:eastAsia="方正小标宋简体"/>
          <w:kern w:val="0"/>
          <w:sz w:val="44"/>
          <w:szCs w:val="52"/>
        </w:rPr>
      </w:pPr>
      <w:r>
        <w:rPr>
          <w:rFonts w:hint="eastAsia" w:eastAsia="方正小标宋简体"/>
          <w:kern w:val="0"/>
          <w:sz w:val="44"/>
          <w:szCs w:val="52"/>
        </w:rPr>
        <w:t>加工等10个行业应急减排措施制定技术指南</w:t>
      </w:r>
    </w:p>
    <w:bookmarkEnd w:id="135"/>
    <w:p>
      <w:pPr>
        <w:overflowPunct w:val="0"/>
        <w:topLinePunct/>
        <w:spacing w:line="700" w:lineRule="exact"/>
        <w:ind w:right="-84"/>
        <w:jc w:val="center"/>
        <w:rPr>
          <w:rFonts w:eastAsia="楷体_GB2312" w:cs="宋体"/>
          <w:b/>
          <w:kern w:val="0"/>
          <w:szCs w:val="36"/>
          <w:highlight w:val="none"/>
        </w:rPr>
      </w:pPr>
      <w:r>
        <w:rPr>
          <w:rFonts w:hint="eastAsia" w:eastAsia="楷体_GB2312" w:cs="宋体"/>
          <w:b/>
          <w:kern w:val="0"/>
          <w:szCs w:val="36"/>
          <w:highlight w:val="none"/>
        </w:rPr>
        <w:t>（</w:t>
      </w:r>
      <w:r>
        <w:rPr>
          <w:rFonts w:hint="eastAsia" w:eastAsia="楷体_GB2312" w:cs="宋体"/>
          <w:b/>
          <w:kern w:val="0"/>
          <w:szCs w:val="36"/>
          <w:highlight w:val="none"/>
          <w:lang w:val="en-US" w:eastAsia="zh-CN"/>
        </w:rPr>
        <w:t>2024年修订版</w:t>
      </w:r>
      <w:r>
        <w:rPr>
          <w:rFonts w:hint="eastAsia" w:eastAsia="楷体_GB2312" w:cs="宋体"/>
          <w:b/>
          <w:kern w:val="0"/>
          <w:szCs w:val="36"/>
          <w:highlight w:val="none"/>
        </w:rPr>
        <w:t>）</w:t>
      </w:r>
    </w:p>
    <w:p>
      <w:pPr>
        <w:overflowPunct w:val="0"/>
        <w:topLinePunct/>
        <w:spacing w:line="700" w:lineRule="exact"/>
        <w:ind w:right="-84"/>
        <w:jc w:val="center"/>
        <w:rPr>
          <w:rFonts w:eastAsia="楷体_GB2312"/>
          <w:kern w:val="0"/>
          <w:szCs w:val="38"/>
        </w:rPr>
      </w:pPr>
    </w:p>
    <w:p>
      <w:pPr>
        <w:overflowPunct w:val="0"/>
        <w:topLinePunct/>
        <w:spacing w:line="700" w:lineRule="exact"/>
        <w:ind w:right="819"/>
        <w:jc w:val="center"/>
        <w:rPr>
          <w:rFonts w:eastAsia="宋体"/>
          <w:kern w:val="0"/>
          <w:sz w:val="46"/>
          <w:szCs w:val="52"/>
        </w:rPr>
      </w:pPr>
    </w:p>
    <w:p>
      <w:pPr>
        <w:overflowPunct w:val="0"/>
        <w:topLinePunct/>
        <w:spacing w:line="700" w:lineRule="exact"/>
        <w:ind w:right="819"/>
        <w:jc w:val="center"/>
        <w:rPr>
          <w:rFonts w:eastAsia="宋体"/>
          <w:kern w:val="0"/>
          <w:sz w:val="46"/>
          <w:szCs w:val="52"/>
        </w:rPr>
      </w:pPr>
    </w:p>
    <w:p>
      <w:pPr>
        <w:overflowPunct w:val="0"/>
        <w:topLinePunct/>
        <w:spacing w:line="700" w:lineRule="exact"/>
        <w:ind w:right="819"/>
        <w:rPr>
          <w:rFonts w:eastAsia="宋体"/>
          <w:kern w:val="0"/>
          <w:sz w:val="46"/>
          <w:szCs w:val="52"/>
        </w:rPr>
      </w:pPr>
    </w:p>
    <w:p>
      <w:pPr>
        <w:overflowPunct w:val="0"/>
        <w:topLinePunct/>
        <w:spacing w:line="700" w:lineRule="exact"/>
        <w:ind w:right="819"/>
        <w:jc w:val="center"/>
        <w:rPr>
          <w:rFonts w:eastAsia="宋体"/>
          <w:kern w:val="0"/>
          <w:sz w:val="46"/>
          <w:szCs w:val="52"/>
        </w:rPr>
      </w:pPr>
    </w:p>
    <w:p>
      <w:pPr>
        <w:overflowPunct w:val="0"/>
        <w:topLinePunct/>
        <w:spacing w:line="700" w:lineRule="exact"/>
        <w:ind w:right="819"/>
        <w:jc w:val="center"/>
        <w:rPr>
          <w:rFonts w:eastAsia="宋体"/>
          <w:kern w:val="0"/>
          <w:sz w:val="46"/>
          <w:szCs w:val="52"/>
        </w:rPr>
      </w:pPr>
    </w:p>
    <w:p>
      <w:pPr>
        <w:overflowPunct w:val="0"/>
        <w:topLinePunct/>
        <w:spacing w:line="700" w:lineRule="exact"/>
        <w:ind w:right="819"/>
        <w:jc w:val="center"/>
        <w:rPr>
          <w:rFonts w:eastAsia="宋体"/>
          <w:kern w:val="0"/>
          <w:sz w:val="46"/>
          <w:szCs w:val="52"/>
        </w:rPr>
      </w:pPr>
    </w:p>
    <w:p>
      <w:pPr>
        <w:overflowPunct w:val="0"/>
        <w:topLinePunct/>
        <w:spacing w:line="700" w:lineRule="exact"/>
        <w:ind w:right="819"/>
        <w:jc w:val="center"/>
        <w:rPr>
          <w:rFonts w:eastAsia="宋体"/>
          <w:kern w:val="0"/>
          <w:sz w:val="46"/>
          <w:szCs w:val="52"/>
        </w:rPr>
      </w:pPr>
    </w:p>
    <w:p>
      <w:pPr>
        <w:overflowPunct w:val="0"/>
        <w:topLinePunct/>
        <w:spacing w:line="700" w:lineRule="exact"/>
        <w:ind w:right="819"/>
        <w:jc w:val="center"/>
        <w:rPr>
          <w:rFonts w:eastAsia="楷体_GB2312"/>
          <w:kern w:val="0"/>
          <w:sz w:val="36"/>
          <w:szCs w:val="32"/>
        </w:rPr>
      </w:pPr>
    </w:p>
    <w:p>
      <w:pPr>
        <w:overflowPunct w:val="0"/>
        <w:topLinePunct/>
        <w:spacing w:line="700" w:lineRule="exact"/>
        <w:ind w:right="819"/>
        <w:jc w:val="center"/>
        <w:rPr>
          <w:rFonts w:eastAsia="楷体_GB2312"/>
          <w:b/>
          <w:kern w:val="0"/>
          <w:sz w:val="36"/>
          <w:szCs w:val="32"/>
        </w:rPr>
      </w:pPr>
      <w:r>
        <w:rPr>
          <w:rFonts w:eastAsia="楷体_GB2312"/>
          <w:b/>
          <w:kern w:val="0"/>
          <w:sz w:val="36"/>
          <w:szCs w:val="32"/>
        </w:rPr>
        <w:t>四川省生态环境厅</w:t>
      </w:r>
    </w:p>
    <w:p>
      <w:pPr>
        <w:overflowPunct w:val="0"/>
        <w:topLinePunct/>
        <w:spacing w:line="700" w:lineRule="exact"/>
        <w:ind w:right="819"/>
        <w:jc w:val="center"/>
        <w:rPr>
          <w:rFonts w:eastAsia="楷体_GB2312"/>
          <w:b/>
          <w:kern w:val="0"/>
          <w:sz w:val="36"/>
          <w:szCs w:val="32"/>
          <w:highlight w:val="none"/>
        </w:rPr>
      </w:pPr>
      <w:r>
        <w:rPr>
          <w:rFonts w:eastAsia="楷体_GB2312"/>
          <w:b/>
          <w:kern w:val="0"/>
          <w:sz w:val="36"/>
          <w:szCs w:val="32"/>
          <w:highlight w:val="none"/>
        </w:rPr>
        <w:t>202</w:t>
      </w:r>
      <w:r>
        <w:rPr>
          <w:rFonts w:hint="eastAsia" w:eastAsia="楷体_GB2312"/>
          <w:b/>
          <w:kern w:val="0"/>
          <w:sz w:val="36"/>
          <w:szCs w:val="32"/>
          <w:highlight w:val="none"/>
          <w:lang w:val="en-US" w:eastAsia="zh-CN"/>
        </w:rPr>
        <w:t>4</w:t>
      </w:r>
      <w:r>
        <w:rPr>
          <w:rFonts w:eastAsia="楷体_GB2312"/>
          <w:b/>
          <w:kern w:val="0"/>
          <w:sz w:val="36"/>
          <w:szCs w:val="32"/>
          <w:highlight w:val="none"/>
        </w:rPr>
        <w:t>年</w:t>
      </w:r>
      <w:r>
        <w:rPr>
          <w:rFonts w:hint="eastAsia" w:eastAsia="楷体_GB2312"/>
          <w:b/>
          <w:kern w:val="0"/>
          <w:sz w:val="36"/>
          <w:szCs w:val="32"/>
          <w:highlight w:val="none"/>
          <w:lang w:val="en-US" w:eastAsia="zh-CN"/>
        </w:rPr>
        <w:t>6</w:t>
      </w:r>
      <w:r>
        <w:rPr>
          <w:rFonts w:eastAsia="楷体_GB2312"/>
          <w:b/>
          <w:kern w:val="0"/>
          <w:sz w:val="36"/>
          <w:szCs w:val="32"/>
          <w:highlight w:val="none"/>
        </w:rPr>
        <w:t>月</w:t>
      </w:r>
    </w:p>
    <w:p>
      <w:pPr>
        <w:overflowPunct w:val="0"/>
        <w:topLinePunct/>
        <w:spacing w:line="600" w:lineRule="exact"/>
        <w:jc w:val="center"/>
        <w:rPr>
          <w:rFonts w:eastAsia="黑体"/>
          <w:szCs w:val="32"/>
        </w:rPr>
      </w:pPr>
      <w:r>
        <w:rPr>
          <w:rFonts w:eastAsia="宋体"/>
          <w:sz w:val="21"/>
          <w:szCs w:val="21"/>
        </w:rPr>
        <w:br w:type="page"/>
      </w:r>
      <w:r>
        <w:rPr>
          <w:rFonts w:eastAsia="黑体"/>
          <w:szCs w:val="32"/>
        </w:rPr>
        <w:t>前</w:t>
      </w:r>
      <w:r>
        <w:rPr>
          <w:rFonts w:hint="eastAsia" w:eastAsia="黑体"/>
          <w:szCs w:val="32"/>
        </w:rPr>
        <w:t xml:space="preserve">   </w:t>
      </w:r>
      <w:r>
        <w:rPr>
          <w:rFonts w:eastAsia="黑体"/>
          <w:szCs w:val="32"/>
        </w:rPr>
        <w:t>言</w:t>
      </w:r>
    </w:p>
    <w:p>
      <w:pPr>
        <w:overflowPunct w:val="0"/>
        <w:topLinePunct/>
        <w:spacing w:line="600" w:lineRule="exact"/>
        <w:ind w:firstLine="576" w:firstLineChars="200"/>
        <w:rPr>
          <w:sz w:val="30"/>
          <w:szCs w:val="30"/>
        </w:rPr>
      </w:pPr>
    </w:p>
    <w:p>
      <w:pPr>
        <w:overflowPunct w:val="0"/>
        <w:topLinePunct/>
        <w:spacing w:line="600" w:lineRule="exact"/>
        <w:ind w:firstLine="576" w:firstLineChars="200"/>
        <w:rPr>
          <w:rFonts w:hint="default" w:eastAsia="仿宋_GB2312"/>
          <w:sz w:val="30"/>
          <w:szCs w:val="30"/>
          <w:lang w:val="en-US" w:eastAsia="zh-CN"/>
        </w:rPr>
      </w:pPr>
      <w:r>
        <w:rPr>
          <w:rFonts w:hint="eastAsia"/>
          <w:sz w:val="30"/>
          <w:szCs w:val="30"/>
        </w:rPr>
        <w:t>生态环境部在《关于印发〈重污染天气重点行业应急减排措施制定技术指南〉（2020年修订版）的函》（环办便函〔2020〕340号）中明确,“其他未实施绩效分级的行业，可由各省（市）生态环境主管部门，自行制定统一的绩效分级标准，实施差异化减排措施。”</w:t>
      </w:r>
      <w:r>
        <w:rPr>
          <w:sz w:val="30"/>
          <w:szCs w:val="30"/>
        </w:rPr>
        <w:t>为</w:t>
      </w:r>
      <w:r>
        <w:rPr>
          <w:rFonts w:hint="eastAsia"/>
          <w:sz w:val="30"/>
          <w:szCs w:val="30"/>
        </w:rPr>
        <w:t>贯彻落实精准治污、科学治污、依法治污要求，</w:t>
      </w:r>
      <w:r>
        <w:rPr>
          <w:sz w:val="30"/>
          <w:szCs w:val="30"/>
        </w:rPr>
        <w:t>进一步指导各地修订重污染天气应急预案，完善重污染天气应急减排清单，</w:t>
      </w:r>
      <w:r>
        <w:rPr>
          <w:rFonts w:hint="eastAsia"/>
          <w:sz w:val="30"/>
          <w:szCs w:val="30"/>
        </w:rPr>
        <w:t>四川省生态环境厅</w:t>
      </w:r>
      <w:r>
        <w:rPr>
          <w:sz w:val="30"/>
          <w:szCs w:val="30"/>
        </w:rPr>
        <w:t>基于四川省产业</w:t>
      </w:r>
      <w:r>
        <w:rPr>
          <w:rFonts w:hint="eastAsia"/>
          <w:sz w:val="30"/>
          <w:szCs w:val="30"/>
        </w:rPr>
        <w:t>现状</w:t>
      </w:r>
      <w:r>
        <w:rPr>
          <w:sz w:val="30"/>
          <w:szCs w:val="30"/>
        </w:rPr>
        <w:t>，</w:t>
      </w:r>
      <w:r>
        <w:rPr>
          <w:rFonts w:hint="eastAsia"/>
          <w:sz w:val="30"/>
          <w:szCs w:val="30"/>
        </w:rPr>
        <w:t>参照</w:t>
      </w:r>
      <w:r>
        <w:rPr>
          <w:sz w:val="30"/>
          <w:szCs w:val="30"/>
        </w:rPr>
        <w:t>生态环境部《重污染天气重点行业应急减排措施制定技术指南》，</w:t>
      </w:r>
      <w:r>
        <w:rPr>
          <w:rFonts w:hint="eastAsia"/>
          <w:sz w:val="30"/>
          <w:szCs w:val="30"/>
        </w:rPr>
        <w:t>对涉气</w:t>
      </w:r>
      <w:r>
        <w:rPr>
          <w:sz w:val="30"/>
          <w:szCs w:val="30"/>
        </w:rPr>
        <w:t>行业绩效分级范围</w:t>
      </w:r>
      <w:r>
        <w:rPr>
          <w:rFonts w:hint="eastAsia"/>
          <w:sz w:val="30"/>
          <w:szCs w:val="30"/>
        </w:rPr>
        <w:t>进行了扩展</w:t>
      </w:r>
      <w:r>
        <w:rPr>
          <w:sz w:val="30"/>
          <w:szCs w:val="30"/>
        </w:rPr>
        <w:t>，</w:t>
      </w:r>
      <w:r>
        <w:rPr>
          <w:rFonts w:hint="eastAsia"/>
          <w:sz w:val="30"/>
          <w:szCs w:val="30"/>
        </w:rPr>
        <w:t>增加了</w:t>
      </w:r>
      <w:r>
        <w:rPr>
          <w:sz w:val="30"/>
          <w:szCs w:val="30"/>
        </w:rPr>
        <w:t>金属表面处理及热处理加工、矿石采选与石材加工、肥料制造（除煤制氮肥）、塑料制品、纸浆制造与造纸行业、沥青混合料搅拌站、有机化工、电子行业、</w:t>
      </w:r>
      <w:r>
        <w:rPr>
          <w:sz w:val="30"/>
          <w:szCs w:val="30"/>
          <w:highlight w:val="none"/>
        </w:rPr>
        <w:t>汽修行业和通用行业10个行业</w:t>
      </w:r>
      <w:r>
        <w:rPr>
          <w:rFonts w:hint="eastAsia"/>
          <w:sz w:val="30"/>
          <w:szCs w:val="30"/>
          <w:highlight w:val="none"/>
        </w:rPr>
        <w:t>，形成了《四川省重污染天气金属表面处理及热处理加工等10个行业应急减排措施制定技术指南（</w:t>
      </w:r>
      <w:r>
        <w:rPr>
          <w:rFonts w:hint="eastAsia"/>
          <w:sz w:val="30"/>
          <w:szCs w:val="30"/>
          <w:highlight w:val="none"/>
          <w:lang w:val="en-US" w:eastAsia="zh-CN"/>
        </w:rPr>
        <w:t>试行</w:t>
      </w:r>
      <w:r>
        <w:rPr>
          <w:rFonts w:hint="eastAsia"/>
          <w:sz w:val="30"/>
          <w:szCs w:val="30"/>
          <w:highlight w:val="none"/>
        </w:rPr>
        <w:t>）》。</w:t>
      </w:r>
      <w:r>
        <w:rPr>
          <w:rFonts w:hint="eastAsia"/>
          <w:sz w:val="30"/>
          <w:szCs w:val="30"/>
          <w:highlight w:val="none"/>
          <w:lang w:eastAsia="zh-CN"/>
        </w:rPr>
        <w:t>经过一年的试行，结合四川省特点，生态环境厅组织了对本指南的修订工作，形成了</w:t>
      </w:r>
      <w:r>
        <w:rPr>
          <w:rFonts w:hint="eastAsia"/>
          <w:sz w:val="30"/>
          <w:szCs w:val="30"/>
          <w:highlight w:val="none"/>
        </w:rPr>
        <w:t>《四川省重污染天气金属表面处理及热处理加工等10个行业应急减排措施制定技术指南（</w:t>
      </w:r>
      <w:r>
        <w:rPr>
          <w:rFonts w:hint="eastAsia"/>
          <w:sz w:val="30"/>
          <w:szCs w:val="30"/>
          <w:highlight w:val="none"/>
          <w:lang w:val="en-US" w:eastAsia="zh-CN"/>
        </w:rPr>
        <w:t>2024年修订版</w:t>
      </w:r>
      <w:r>
        <w:rPr>
          <w:rFonts w:hint="eastAsia"/>
          <w:sz w:val="30"/>
          <w:szCs w:val="30"/>
          <w:highlight w:val="none"/>
        </w:rPr>
        <w:t>）》</w:t>
      </w:r>
      <w:r>
        <w:rPr>
          <w:rFonts w:hint="eastAsia"/>
          <w:sz w:val="30"/>
          <w:szCs w:val="30"/>
          <w:highlight w:val="none"/>
          <w:lang w:eastAsia="zh-CN"/>
        </w:rPr>
        <w:t>，本指南自发布之日起实施</w:t>
      </w:r>
      <w:r>
        <w:rPr>
          <w:sz w:val="30"/>
          <w:szCs w:val="30"/>
        </w:rPr>
        <w:t>。</w:t>
      </w:r>
    </w:p>
    <w:p>
      <w:pPr>
        <w:overflowPunct w:val="0"/>
        <w:topLinePunct/>
        <w:spacing w:line="600" w:lineRule="exact"/>
        <w:jc w:val="center"/>
        <w:rPr>
          <w:rFonts w:eastAsia="等线"/>
          <w:spacing w:val="0"/>
          <w:sz w:val="21"/>
          <w:szCs w:val="22"/>
        </w:rPr>
      </w:pPr>
      <w:r>
        <w:rPr>
          <w:sz w:val="30"/>
          <w:szCs w:val="30"/>
        </w:rPr>
        <w:br w:type="page"/>
      </w:r>
      <w:r>
        <w:rPr>
          <w:rFonts w:hint="eastAsia" w:eastAsia="黑体" w:cs="黑体"/>
          <w:spacing w:val="0"/>
          <w:sz w:val="36"/>
          <w:szCs w:val="36"/>
        </w:rPr>
        <w:t>目   录</w:t>
      </w:r>
    </w:p>
    <w:p>
      <w:pPr>
        <w:keepNext/>
        <w:keepLines/>
        <w:widowControl/>
        <w:spacing w:before="240" w:line="259" w:lineRule="auto"/>
        <w:jc w:val="left"/>
        <w:rPr>
          <w:rFonts w:eastAsia="等线 Light"/>
          <w:kern w:val="0"/>
          <w:szCs w:val="32"/>
        </w:rPr>
      </w:pPr>
    </w:p>
    <w:p>
      <w:pPr>
        <w:pStyle w:val="7"/>
        <w:tabs>
          <w:tab w:val="right" w:leader="dot" w:pos="8848"/>
        </w:tabs>
        <w:rPr>
          <w:sz w:val="28"/>
          <w:szCs w:val="18"/>
        </w:rPr>
      </w:pPr>
      <w:r>
        <w:rPr>
          <w:rFonts w:eastAsia="宋体" w:cs="宋体"/>
          <w:kern w:val="0"/>
          <w:sz w:val="22"/>
          <w:szCs w:val="22"/>
        </w:rPr>
        <w:fldChar w:fldCharType="begin"/>
      </w:r>
      <w:r>
        <w:rPr>
          <w:rFonts w:eastAsia="宋体" w:cs="宋体"/>
          <w:kern w:val="0"/>
          <w:sz w:val="22"/>
          <w:szCs w:val="22"/>
        </w:rPr>
        <w:instrText xml:space="preserve"> TOC \o "1-3" \h \z \u </w:instrText>
      </w:r>
      <w:r>
        <w:rPr>
          <w:rFonts w:eastAsia="宋体" w:cs="宋体"/>
          <w:kern w:val="0"/>
          <w:sz w:val="22"/>
          <w:szCs w:val="22"/>
        </w:rPr>
        <w:fldChar w:fldCharType="separate"/>
      </w:r>
      <w:r>
        <w:rPr>
          <w:rFonts w:eastAsia="等线"/>
          <w:spacing w:val="0"/>
          <w:sz w:val="28"/>
          <w:szCs w:val="22"/>
          <w:lang w:val="zh-CN"/>
        </w:rPr>
        <w:fldChar w:fldCharType="begin"/>
      </w:r>
      <w:r>
        <w:rPr>
          <w:rFonts w:eastAsia="等线"/>
          <w:spacing w:val="0"/>
          <w:sz w:val="28"/>
          <w:szCs w:val="22"/>
          <w:lang w:val="zh-CN"/>
        </w:rPr>
        <w:instrText xml:space="preserve"> HYPERLINK \l _Toc30205 </w:instrText>
      </w:r>
      <w:r>
        <w:rPr>
          <w:rFonts w:eastAsia="等线"/>
          <w:spacing w:val="0"/>
          <w:sz w:val="28"/>
          <w:szCs w:val="22"/>
          <w:lang w:val="zh-CN"/>
        </w:rPr>
        <w:fldChar w:fldCharType="separate"/>
      </w:r>
      <w:r>
        <w:rPr>
          <w:rFonts w:eastAsia="黑体"/>
          <w:kern w:val="0"/>
          <w:sz w:val="28"/>
          <w:szCs w:val="28"/>
        </w:rPr>
        <w:t>一、金属表面处理及热处理加工</w:t>
      </w:r>
      <w:r>
        <w:rPr>
          <w:sz w:val="28"/>
          <w:szCs w:val="18"/>
        </w:rPr>
        <w:tab/>
      </w:r>
      <w:r>
        <w:rPr>
          <w:sz w:val="28"/>
          <w:szCs w:val="18"/>
        </w:rPr>
        <w:fldChar w:fldCharType="begin"/>
      </w:r>
      <w:r>
        <w:rPr>
          <w:sz w:val="28"/>
          <w:szCs w:val="18"/>
        </w:rPr>
        <w:instrText xml:space="preserve"> PAGEREF _Toc30205 \h </w:instrText>
      </w:r>
      <w:r>
        <w:rPr>
          <w:sz w:val="28"/>
          <w:szCs w:val="18"/>
        </w:rPr>
        <w:fldChar w:fldCharType="separate"/>
      </w:r>
      <w:r>
        <w:rPr>
          <w:sz w:val="28"/>
          <w:szCs w:val="18"/>
        </w:rPr>
        <w:t>5</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_Toc9001 </w:instrText>
      </w:r>
      <w:r>
        <w:rPr>
          <w:rFonts w:eastAsia="等线"/>
          <w:spacing w:val="0"/>
          <w:sz w:val="28"/>
          <w:szCs w:val="22"/>
          <w:lang w:val="zh-CN"/>
        </w:rPr>
        <w:fldChar w:fldCharType="separate"/>
      </w:r>
      <w:r>
        <w:rPr>
          <w:rFonts w:eastAsia="楷体_GB2312"/>
          <w:kern w:val="0"/>
          <w:sz w:val="28"/>
          <w:szCs w:val="28"/>
        </w:rPr>
        <w:t>（一）适用范围</w:t>
      </w:r>
      <w:r>
        <w:rPr>
          <w:sz w:val="28"/>
          <w:szCs w:val="18"/>
        </w:rPr>
        <w:tab/>
      </w:r>
      <w:r>
        <w:rPr>
          <w:sz w:val="28"/>
          <w:szCs w:val="18"/>
        </w:rPr>
        <w:fldChar w:fldCharType="begin"/>
      </w:r>
      <w:r>
        <w:rPr>
          <w:sz w:val="28"/>
          <w:szCs w:val="18"/>
        </w:rPr>
        <w:instrText xml:space="preserve"> PAGEREF _Toc9001 \h </w:instrText>
      </w:r>
      <w:r>
        <w:rPr>
          <w:sz w:val="28"/>
          <w:szCs w:val="18"/>
        </w:rPr>
        <w:fldChar w:fldCharType="separate"/>
      </w:r>
      <w:r>
        <w:rPr>
          <w:sz w:val="28"/>
          <w:szCs w:val="18"/>
        </w:rPr>
        <w:t>5</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_Toc10992 </w:instrText>
      </w:r>
      <w:r>
        <w:rPr>
          <w:rFonts w:eastAsia="等线"/>
          <w:spacing w:val="0"/>
          <w:sz w:val="28"/>
          <w:szCs w:val="22"/>
          <w:lang w:val="zh-CN"/>
        </w:rPr>
        <w:fldChar w:fldCharType="separate"/>
      </w:r>
      <w:r>
        <w:rPr>
          <w:rFonts w:eastAsia="楷体_GB2312"/>
          <w:kern w:val="0"/>
          <w:sz w:val="28"/>
          <w:szCs w:val="28"/>
        </w:rPr>
        <w:t>（二）生产工艺</w:t>
      </w:r>
      <w:r>
        <w:rPr>
          <w:sz w:val="28"/>
          <w:szCs w:val="18"/>
        </w:rPr>
        <w:tab/>
      </w:r>
      <w:r>
        <w:rPr>
          <w:sz w:val="28"/>
          <w:szCs w:val="18"/>
        </w:rPr>
        <w:fldChar w:fldCharType="begin"/>
      </w:r>
      <w:r>
        <w:rPr>
          <w:sz w:val="28"/>
          <w:szCs w:val="18"/>
        </w:rPr>
        <w:instrText xml:space="preserve"> PAGEREF _Toc10992 \h </w:instrText>
      </w:r>
      <w:r>
        <w:rPr>
          <w:sz w:val="28"/>
          <w:szCs w:val="18"/>
        </w:rPr>
        <w:fldChar w:fldCharType="separate"/>
      </w:r>
      <w:r>
        <w:rPr>
          <w:sz w:val="28"/>
          <w:szCs w:val="18"/>
        </w:rPr>
        <w:t>5</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_Toc15591 </w:instrText>
      </w:r>
      <w:r>
        <w:rPr>
          <w:rFonts w:eastAsia="等线"/>
          <w:spacing w:val="0"/>
          <w:sz w:val="28"/>
          <w:szCs w:val="22"/>
          <w:lang w:val="zh-CN"/>
        </w:rPr>
        <w:fldChar w:fldCharType="separate"/>
      </w:r>
      <w:r>
        <w:rPr>
          <w:rFonts w:eastAsia="楷体_GB2312"/>
          <w:kern w:val="0"/>
          <w:sz w:val="28"/>
          <w:szCs w:val="28"/>
        </w:rPr>
        <w:t>（三）主要污染物产排环节</w:t>
      </w:r>
      <w:r>
        <w:rPr>
          <w:sz w:val="28"/>
          <w:szCs w:val="18"/>
        </w:rPr>
        <w:tab/>
      </w:r>
      <w:r>
        <w:rPr>
          <w:sz w:val="28"/>
          <w:szCs w:val="18"/>
        </w:rPr>
        <w:fldChar w:fldCharType="begin"/>
      </w:r>
      <w:r>
        <w:rPr>
          <w:sz w:val="28"/>
          <w:szCs w:val="18"/>
        </w:rPr>
        <w:instrText xml:space="preserve"> PAGEREF _Toc15591 \h </w:instrText>
      </w:r>
      <w:r>
        <w:rPr>
          <w:sz w:val="28"/>
          <w:szCs w:val="18"/>
        </w:rPr>
        <w:fldChar w:fldCharType="separate"/>
      </w:r>
      <w:r>
        <w:rPr>
          <w:sz w:val="28"/>
          <w:szCs w:val="18"/>
        </w:rPr>
        <w:t>5</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_Toc17805 </w:instrText>
      </w:r>
      <w:r>
        <w:rPr>
          <w:rFonts w:eastAsia="等线"/>
          <w:spacing w:val="0"/>
          <w:sz w:val="28"/>
          <w:szCs w:val="22"/>
          <w:lang w:val="zh-CN"/>
        </w:rPr>
        <w:fldChar w:fldCharType="separate"/>
      </w:r>
      <w:r>
        <w:rPr>
          <w:rFonts w:eastAsia="楷体_GB2312"/>
          <w:kern w:val="0"/>
          <w:sz w:val="28"/>
          <w:szCs w:val="28"/>
        </w:rPr>
        <w:t>（四）绩效分级指标</w:t>
      </w:r>
      <w:r>
        <w:rPr>
          <w:sz w:val="28"/>
          <w:szCs w:val="18"/>
        </w:rPr>
        <w:tab/>
      </w:r>
      <w:r>
        <w:rPr>
          <w:sz w:val="28"/>
          <w:szCs w:val="18"/>
        </w:rPr>
        <w:fldChar w:fldCharType="begin"/>
      </w:r>
      <w:r>
        <w:rPr>
          <w:sz w:val="28"/>
          <w:szCs w:val="18"/>
        </w:rPr>
        <w:instrText xml:space="preserve"> PAGEREF _Toc17805 \h </w:instrText>
      </w:r>
      <w:r>
        <w:rPr>
          <w:sz w:val="28"/>
          <w:szCs w:val="18"/>
        </w:rPr>
        <w:fldChar w:fldCharType="separate"/>
      </w:r>
      <w:r>
        <w:rPr>
          <w:sz w:val="28"/>
          <w:szCs w:val="18"/>
        </w:rPr>
        <w:t>7</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_Toc166 </w:instrText>
      </w:r>
      <w:r>
        <w:rPr>
          <w:rFonts w:eastAsia="等线"/>
          <w:spacing w:val="0"/>
          <w:sz w:val="28"/>
          <w:szCs w:val="22"/>
          <w:lang w:val="zh-CN"/>
        </w:rPr>
        <w:fldChar w:fldCharType="separate"/>
      </w:r>
      <w:r>
        <w:rPr>
          <w:rFonts w:eastAsia="楷体_GB2312"/>
          <w:kern w:val="0"/>
          <w:sz w:val="28"/>
          <w:szCs w:val="28"/>
        </w:rPr>
        <w:t>（五）减排措施</w:t>
      </w:r>
      <w:r>
        <w:rPr>
          <w:sz w:val="28"/>
          <w:szCs w:val="18"/>
        </w:rPr>
        <w:tab/>
      </w:r>
      <w:r>
        <w:rPr>
          <w:sz w:val="28"/>
          <w:szCs w:val="18"/>
        </w:rPr>
        <w:fldChar w:fldCharType="begin"/>
      </w:r>
      <w:r>
        <w:rPr>
          <w:sz w:val="28"/>
          <w:szCs w:val="18"/>
        </w:rPr>
        <w:instrText xml:space="preserve"> PAGEREF _Toc166 \h </w:instrText>
      </w:r>
      <w:r>
        <w:rPr>
          <w:sz w:val="28"/>
          <w:szCs w:val="18"/>
        </w:rPr>
        <w:fldChar w:fldCharType="separate"/>
      </w:r>
      <w:r>
        <w:rPr>
          <w:sz w:val="28"/>
          <w:szCs w:val="18"/>
        </w:rPr>
        <w:t>10</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_Toc24107 </w:instrText>
      </w:r>
      <w:r>
        <w:rPr>
          <w:rFonts w:eastAsia="等线"/>
          <w:spacing w:val="0"/>
          <w:sz w:val="28"/>
          <w:szCs w:val="22"/>
          <w:lang w:val="zh-CN"/>
        </w:rPr>
        <w:fldChar w:fldCharType="separate"/>
      </w:r>
      <w:r>
        <w:rPr>
          <w:rFonts w:hint="default" w:eastAsia="楷体_GB2312"/>
          <w:spacing w:val="-6"/>
          <w:kern w:val="0"/>
          <w:sz w:val="28"/>
          <w:szCs w:val="28"/>
          <w:lang w:eastAsia="zh-CN"/>
        </w:rPr>
        <w:t>（六）</w:t>
      </w:r>
      <w:r>
        <w:rPr>
          <w:rFonts w:eastAsia="楷体_GB2312"/>
          <w:spacing w:val="-6"/>
          <w:kern w:val="0"/>
          <w:sz w:val="28"/>
          <w:szCs w:val="28"/>
        </w:rPr>
        <w:t>核查方法</w:t>
      </w:r>
      <w:r>
        <w:rPr>
          <w:sz w:val="28"/>
          <w:szCs w:val="18"/>
        </w:rPr>
        <w:tab/>
      </w:r>
      <w:r>
        <w:rPr>
          <w:sz w:val="28"/>
          <w:szCs w:val="18"/>
        </w:rPr>
        <w:fldChar w:fldCharType="begin"/>
      </w:r>
      <w:r>
        <w:rPr>
          <w:sz w:val="28"/>
          <w:szCs w:val="18"/>
        </w:rPr>
        <w:instrText xml:space="preserve"> PAGEREF _Toc24107 \h </w:instrText>
      </w:r>
      <w:r>
        <w:rPr>
          <w:sz w:val="28"/>
          <w:szCs w:val="18"/>
        </w:rPr>
        <w:fldChar w:fldCharType="separate"/>
      </w:r>
      <w:r>
        <w:rPr>
          <w:sz w:val="28"/>
          <w:szCs w:val="18"/>
        </w:rPr>
        <w:t>10</w:t>
      </w:r>
      <w:r>
        <w:rPr>
          <w:sz w:val="28"/>
          <w:szCs w:val="18"/>
        </w:rPr>
        <w:fldChar w:fldCharType="end"/>
      </w:r>
      <w:r>
        <w:rPr>
          <w:rFonts w:eastAsia="等线"/>
          <w:spacing w:val="0"/>
          <w:sz w:val="28"/>
          <w:szCs w:val="22"/>
          <w:lang w:val="zh-CN"/>
        </w:rPr>
        <w:fldChar w:fldCharType="end"/>
      </w:r>
    </w:p>
    <w:p>
      <w:pPr>
        <w:pStyle w:val="7"/>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_Toc12125 </w:instrText>
      </w:r>
      <w:r>
        <w:rPr>
          <w:rFonts w:eastAsia="等线"/>
          <w:spacing w:val="0"/>
          <w:sz w:val="28"/>
          <w:szCs w:val="22"/>
          <w:lang w:val="zh-CN"/>
        </w:rPr>
        <w:fldChar w:fldCharType="separate"/>
      </w:r>
      <w:r>
        <w:rPr>
          <w:rFonts w:eastAsia="黑体"/>
          <w:kern w:val="0"/>
          <w:sz w:val="28"/>
          <w:szCs w:val="28"/>
        </w:rPr>
        <w:t>二、矿石采选与石材加工</w:t>
      </w:r>
      <w:r>
        <w:rPr>
          <w:sz w:val="28"/>
          <w:szCs w:val="18"/>
        </w:rPr>
        <w:tab/>
      </w:r>
      <w:r>
        <w:rPr>
          <w:sz w:val="28"/>
          <w:szCs w:val="18"/>
        </w:rPr>
        <w:fldChar w:fldCharType="begin"/>
      </w:r>
      <w:r>
        <w:rPr>
          <w:sz w:val="28"/>
          <w:szCs w:val="18"/>
        </w:rPr>
        <w:instrText xml:space="preserve"> PAGEREF _Toc12125 \h </w:instrText>
      </w:r>
      <w:r>
        <w:rPr>
          <w:sz w:val="28"/>
          <w:szCs w:val="18"/>
        </w:rPr>
        <w:fldChar w:fldCharType="separate"/>
      </w:r>
      <w:r>
        <w:rPr>
          <w:sz w:val="28"/>
          <w:szCs w:val="18"/>
        </w:rPr>
        <w:t>11</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_Toc31733 </w:instrText>
      </w:r>
      <w:r>
        <w:rPr>
          <w:rFonts w:eastAsia="等线"/>
          <w:spacing w:val="0"/>
          <w:sz w:val="28"/>
          <w:szCs w:val="22"/>
          <w:lang w:val="zh-CN"/>
        </w:rPr>
        <w:fldChar w:fldCharType="separate"/>
      </w:r>
      <w:r>
        <w:rPr>
          <w:rFonts w:eastAsia="楷体_GB2312"/>
          <w:kern w:val="0"/>
          <w:sz w:val="28"/>
          <w:szCs w:val="28"/>
        </w:rPr>
        <w:t>（一）适用范围</w:t>
      </w:r>
      <w:r>
        <w:rPr>
          <w:sz w:val="28"/>
          <w:szCs w:val="18"/>
        </w:rPr>
        <w:tab/>
      </w:r>
      <w:r>
        <w:rPr>
          <w:sz w:val="28"/>
          <w:szCs w:val="18"/>
        </w:rPr>
        <w:fldChar w:fldCharType="begin"/>
      </w:r>
      <w:r>
        <w:rPr>
          <w:sz w:val="28"/>
          <w:szCs w:val="18"/>
        </w:rPr>
        <w:instrText xml:space="preserve"> PAGEREF _Toc31733 \h </w:instrText>
      </w:r>
      <w:r>
        <w:rPr>
          <w:sz w:val="28"/>
          <w:szCs w:val="18"/>
        </w:rPr>
        <w:fldChar w:fldCharType="separate"/>
      </w:r>
      <w:r>
        <w:rPr>
          <w:sz w:val="28"/>
          <w:szCs w:val="18"/>
        </w:rPr>
        <w:t>11</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_Toc7506 </w:instrText>
      </w:r>
      <w:r>
        <w:rPr>
          <w:rFonts w:eastAsia="等线"/>
          <w:spacing w:val="0"/>
          <w:sz w:val="28"/>
          <w:szCs w:val="22"/>
          <w:lang w:val="zh-CN"/>
        </w:rPr>
        <w:fldChar w:fldCharType="separate"/>
      </w:r>
      <w:r>
        <w:rPr>
          <w:rFonts w:eastAsia="楷体_GB2312"/>
          <w:kern w:val="0"/>
          <w:sz w:val="28"/>
          <w:szCs w:val="28"/>
        </w:rPr>
        <w:t>（二）生产工艺</w:t>
      </w:r>
      <w:r>
        <w:rPr>
          <w:sz w:val="28"/>
          <w:szCs w:val="18"/>
        </w:rPr>
        <w:tab/>
      </w:r>
      <w:r>
        <w:rPr>
          <w:sz w:val="28"/>
          <w:szCs w:val="18"/>
        </w:rPr>
        <w:fldChar w:fldCharType="begin"/>
      </w:r>
      <w:r>
        <w:rPr>
          <w:sz w:val="28"/>
          <w:szCs w:val="18"/>
        </w:rPr>
        <w:instrText xml:space="preserve"> PAGEREF _Toc7506 \h </w:instrText>
      </w:r>
      <w:r>
        <w:rPr>
          <w:sz w:val="28"/>
          <w:szCs w:val="18"/>
        </w:rPr>
        <w:fldChar w:fldCharType="separate"/>
      </w:r>
      <w:r>
        <w:rPr>
          <w:sz w:val="28"/>
          <w:szCs w:val="18"/>
        </w:rPr>
        <w:t>11</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_Toc3259 </w:instrText>
      </w:r>
      <w:r>
        <w:rPr>
          <w:rFonts w:eastAsia="等线"/>
          <w:spacing w:val="0"/>
          <w:sz w:val="28"/>
          <w:szCs w:val="22"/>
          <w:lang w:val="zh-CN"/>
        </w:rPr>
        <w:fldChar w:fldCharType="separate"/>
      </w:r>
      <w:r>
        <w:rPr>
          <w:rFonts w:eastAsia="楷体_GB2312"/>
          <w:kern w:val="0"/>
          <w:sz w:val="28"/>
          <w:szCs w:val="28"/>
        </w:rPr>
        <w:t>（三）主要污染物产排环节</w:t>
      </w:r>
      <w:r>
        <w:rPr>
          <w:sz w:val="28"/>
          <w:szCs w:val="18"/>
        </w:rPr>
        <w:tab/>
      </w:r>
      <w:r>
        <w:rPr>
          <w:sz w:val="28"/>
          <w:szCs w:val="18"/>
        </w:rPr>
        <w:fldChar w:fldCharType="begin"/>
      </w:r>
      <w:r>
        <w:rPr>
          <w:sz w:val="28"/>
          <w:szCs w:val="18"/>
        </w:rPr>
        <w:instrText xml:space="preserve"> PAGEREF _Toc3259 \h </w:instrText>
      </w:r>
      <w:r>
        <w:rPr>
          <w:sz w:val="28"/>
          <w:szCs w:val="18"/>
        </w:rPr>
        <w:fldChar w:fldCharType="separate"/>
      </w:r>
      <w:r>
        <w:rPr>
          <w:sz w:val="28"/>
          <w:szCs w:val="18"/>
        </w:rPr>
        <w:t>11</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_Toc18738 </w:instrText>
      </w:r>
      <w:r>
        <w:rPr>
          <w:rFonts w:eastAsia="等线"/>
          <w:spacing w:val="0"/>
          <w:sz w:val="28"/>
          <w:szCs w:val="22"/>
          <w:lang w:val="zh-CN"/>
        </w:rPr>
        <w:fldChar w:fldCharType="separate"/>
      </w:r>
      <w:r>
        <w:rPr>
          <w:rFonts w:eastAsia="楷体_GB2312"/>
          <w:kern w:val="0"/>
          <w:sz w:val="28"/>
          <w:szCs w:val="28"/>
        </w:rPr>
        <w:t>（四）绩效分级指标</w:t>
      </w:r>
      <w:r>
        <w:rPr>
          <w:sz w:val="28"/>
          <w:szCs w:val="18"/>
        </w:rPr>
        <w:tab/>
      </w:r>
      <w:r>
        <w:rPr>
          <w:sz w:val="28"/>
          <w:szCs w:val="18"/>
        </w:rPr>
        <w:fldChar w:fldCharType="begin"/>
      </w:r>
      <w:r>
        <w:rPr>
          <w:sz w:val="28"/>
          <w:szCs w:val="18"/>
        </w:rPr>
        <w:instrText xml:space="preserve"> PAGEREF _Toc18738 \h </w:instrText>
      </w:r>
      <w:r>
        <w:rPr>
          <w:sz w:val="28"/>
          <w:szCs w:val="18"/>
        </w:rPr>
        <w:fldChar w:fldCharType="separate"/>
      </w:r>
      <w:r>
        <w:rPr>
          <w:sz w:val="28"/>
          <w:szCs w:val="18"/>
        </w:rPr>
        <w:t>12</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_Toc9258 </w:instrText>
      </w:r>
      <w:r>
        <w:rPr>
          <w:rFonts w:eastAsia="等线"/>
          <w:spacing w:val="0"/>
          <w:sz w:val="28"/>
          <w:szCs w:val="22"/>
          <w:lang w:val="zh-CN"/>
        </w:rPr>
        <w:fldChar w:fldCharType="separate"/>
      </w:r>
      <w:r>
        <w:rPr>
          <w:rFonts w:eastAsia="楷体_GB2312"/>
          <w:kern w:val="0"/>
          <w:sz w:val="28"/>
          <w:szCs w:val="28"/>
        </w:rPr>
        <w:t>（五）减排措施</w:t>
      </w:r>
      <w:r>
        <w:rPr>
          <w:sz w:val="28"/>
          <w:szCs w:val="18"/>
        </w:rPr>
        <w:tab/>
      </w:r>
      <w:r>
        <w:rPr>
          <w:sz w:val="28"/>
          <w:szCs w:val="18"/>
        </w:rPr>
        <w:fldChar w:fldCharType="begin"/>
      </w:r>
      <w:r>
        <w:rPr>
          <w:sz w:val="28"/>
          <w:szCs w:val="18"/>
        </w:rPr>
        <w:instrText xml:space="preserve"> PAGEREF _Toc9258 \h </w:instrText>
      </w:r>
      <w:r>
        <w:rPr>
          <w:sz w:val="28"/>
          <w:szCs w:val="18"/>
        </w:rPr>
        <w:fldChar w:fldCharType="separate"/>
      </w:r>
      <w:r>
        <w:rPr>
          <w:sz w:val="28"/>
          <w:szCs w:val="18"/>
        </w:rPr>
        <w:t>16</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_Toc4318 </w:instrText>
      </w:r>
      <w:r>
        <w:rPr>
          <w:rFonts w:eastAsia="等线"/>
          <w:spacing w:val="0"/>
          <w:sz w:val="28"/>
          <w:szCs w:val="22"/>
          <w:lang w:val="zh-CN"/>
        </w:rPr>
        <w:fldChar w:fldCharType="separate"/>
      </w:r>
      <w:r>
        <w:rPr>
          <w:rFonts w:eastAsia="楷体_GB2312"/>
          <w:kern w:val="0"/>
          <w:sz w:val="28"/>
          <w:szCs w:val="28"/>
        </w:rPr>
        <w:t>（六）核查方法</w:t>
      </w:r>
      <w:r>
        <w:rPr>
          <w:sz w:val="28"/>
          <w:szCs w:val="18"/>
        </w:rPr>
        <w:tab/>
      </w:r>
      <w:r>
        <w:rPr>
          <w:sz w:val="28"/>
          <w:szCs w:val="18"/>
        </w:rPr>
        <w:fldChar w:fldCharType="begin"/>
      </w:r>
      <w:r>
        <w:rPr>
          <w:sz w:val="28"/>
          <w:szCs w:val="18"/>
        </w:rPr>
        <w:instrText xml:space="preserve"> PAGEREF _Toc4318 \h </w:instrText>
      </w:r>
      <w:r>
        <w:rPr>
          <w:sz w:val="28"/>
          <w:szCs w:val="18"/>
        </w:rPr>
        <w:fldChar w:fldCharType="separate"/>
      </w:r>
      <w:r>
        <w:rPr>
          <w:sz w:val="28"/>
          <w:szCs w:val="18"/>
        </w:rPr>
        <w:t>17</w:t>
      </w:r>
      <w:r>
        <w:rPr>
          <w:sz w:val="28"/>
          <w:szCs w:val="18"/>
        </w:rPr>
        <w:fldChar w:fldCharType="end"/>
      </w:r>
      <w:r>
        <w:rPr>
          <w:rFonts w:eastAsia="等线"/>
          <w:spacing w:val="0"/>
          <w:sz w:val="28"/>
          <w:szCs w:val="22"/>
          <w:lang w:val="zh-CN"/>
        </w:rPr>
        <w:fldChar w:fldCharType="end"/>
      </w:r>
    </w:p>
    <w:p>
      <w:pPr>
        <w:pStyle w:val="7"/>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_Toc1500 </w:instrText>
      </w:r>
      <w:r>
        <w:rPr>
          <w:rFonts w:eastAsia="等线"/>
          <w:spacing w:val="0"/>
          <w:sz w:val="28"/>
          <w:szCs w:val="22"/>
          <w:lang w:val="zh-CN"/>
        </w:rPr>
        <w:fldChar w:fldCharType="separate"/>
      </w:r>
      <w:r>
        <w:rPr>
          <w:rFonts w:eastAsia="黑体"/>
          <w:kern w:val="0"/>
          <w:sz w:val="28"/>
          <w:szCs w:val="28"/>
        </w:rPr>
        <w:t>三、肥料制造（除煤制氮肥）</w:t>
      </w:r>
      <w:r>
        <w:rPr>
          <w:sz w:val="28"/>
          <w:szCs w:val="18"/>
        </w:rPr>
        <w:tab/>
      </w:r>
      <w:r>
        <w:rPr>
          <w:sz w:val="28"/>
          <w:szCs w:val="18"/>
        </w:rPr>
        <w:fldChar w:fldCharType="begin"/>
      </w:r>
      <w:r>
        <w:rPr>
          <w:sz w:val="28"/>
          <w:szCs w:val="18"/>
        </w:rPr>
        <w:instrText xml:space="preserve"> PAGEREF _Toc1500 \h </w:instrText>
      </w:r>
      <w:r>
        <w:rPr>
          <w:sz w:val="28"/>
          <w:szCs w:val="18"/>
        </w:rPr>
        <w:fldChar w:fldCharType="separate"/>
      </w:r>
      <w:r>
        <w:rPr>
          <w:sz w:val="28"/>
          <w:szCs w:val="18"/>
        </w:rPr>
        <w:t>17</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_Toc6593 </w:instrText>
      </w:r>
      <w:r>
        <w:rPr>
          <w:rFonts w:eastAsia="等线"/>
          <w:spacing w:val="0"/>
          <w:sz w:val="28"/>
          <w:szCs w:val="22"/>
          <w:lang w:val="zh-CN"/>
        </w:rPr>
        <w:fldChar w:fldCharType="separate"/>
      </w:r>
      <w:r>
        <w:rPr>
          <w:rFonts w:eastAsia="楷体_GB2312"/>
          <w:kern w:val="0"/>
          <w:sz w:val="28"/>
          <w:szCs w:val="28"/>
        </w:rPr>
        <w:t>（一）适用范围</w:t>
      </w:r>
      <w:r>
        <w:rPr>
          <w:sz w:val="28"/>
          <w:szCs w:val="18"/>
        </w:rPr>
        <w:tab/>
      </w:r>
      <w:r>
        <w:rPr>
          <w:sz w:val="28"/>
          <w:szCs w:val="18"/>
        </w:rPr>
        <w:fldChar w:fldCharType="begin"/>
      </w:r>
      <w:r>
        <w:rPr>
          <w:sz w:val="28"/>
          <w:szCs w:val="18"/>
        </w:rPr>
        <w:instrText xml:space="preserve"> PAGEREF _Toc6593 \h </w:instrText>
      </w:r>
      <w:r>
        <w:rPr>
          <w:sz w:val="28"/>
          <w:szCs w:val="18"/>
        </w:rPr>
        <w:fldChar w:fldCharType="separate"/>
      </w:r>
      <w:r>
        <w:rPr>
          <w:sz w:val="28"/>
          <w:szCs w:val="18"/>
        </w:rPr>
        <w:t>17</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_Toc22758 </w:instrText>
      </w:r>
      <w:r>
        <w:rPr>
          <w:rFonts w:eastAsia="等线"/>
          <w:spacing w:val="0"/>
          <w:sz w:val="28"/>
          <w:szCs w:val="22"/>
          <w:lang w:val="zh-CN"/>
        </w:rPr>
        <w:fldChar w:fldCharType="separate"/>
      </w:r>
      <w:r>
        <w:rPr>
          <w:rFonts w:eastAsia="楷体_GB2312"/>
          <w:kern w:val="0"/>
          <w:sz w:val="28"/>
          <w:szCs w:val="28"/>
        </w:rPr>
        <w:t>（二）生产工艺</w:t>
      </w:r>
      <w:r>
        <w:rPr>
          <w:sz w:val="28"/>
          <w:szCs w:val="18"/>
        </w:rPr>
        <w:tab/>
      </w:r>
      <w:r>
        <w:rPr>
          <w:sz w:val="28"/>
          <w:szCs w:val="18"/>
        </w:rPr>
        <w:fldChar w:fldCharType="begin"/>
      </w:r>
      <w:r>
        <w:rPr>
          <w:sz w:val="28"/>
          <w:szCs w:val="18"/>
        </w:rPr>
        <w:instrText xml:space="preserve"> PAGEREF _Toc22758 \h </w:instrText>
      </w:r>
      <w:r>
        <w:rPr>
          <w:sz w:val="28"/>
          <w:szCs w:val="18"/>
        </w:rPr>
        <w:fldChar w:fldCharType="separate"/>
      </w:r>
      <w:r>
        <w:rPr>
          <w:sz w:val="28"/>
          <w:szCs w:val="18"/>
        </w:rPr>
        <w:t>17</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_Toc28838 </w:instrText>
      </w:r>
      <w:r>
        <w:rPr>
          <w:rFonts w:eastAsia="等线"/>
          <w:spacing w:val="0"/>
          <w:sz w:val="28"/>
          <w:szCs w:val="22"/>
          <w:lang w:val="zh-CN"/>
        </w:rPr>
        <w:fldChar w:fldCharType="separate"/>
      </w:r>
      <w:r>
        <w:rPr>
          <w:rFonts w:eastAsia="楷体_GB2312"/>
          <w:kern w:val="0"/>
          <w:sz w:val="28"/>
          <w:szCs w:val="28"/>
        </w:rPr>
        <w:t>（三）主要污染物产排环节</w:t>
      </w:r>
      <w:r>
        <w:rPr>
          <w:sz w:val="28"/>
          <w:szCs w:val="18"/>
        </w:rPr>
        <w:tab/>
      </w:r>
      <w:r>
        <w:rPr>
          <w:sz w:val="28"/>
          <w:szCs w:val="18"/>
        </w:rPr>
        <w:fldChar w:fldCharType="begin"/>
      </w:r>
      <w:r>
        <w:rPr>
          <w:sz w:val="28"/>
          <w:szCs w:val="18"/>
        </w:rPr>
        <w:instrText xml:space="preserve"> PAGEREF _Toc28838 \h </w:instrText>
      </w:r>
      <w:r>
        <w:rPr>
          <w:sz w:val="28"/>
          <w:szCs w:val="18"/>
        </w:rPr>
        <w:fldChar w:fldCharType="separate"/>
      </w:r>
      <w:r>
        <w:rPr>
          <w:sz w:val="28"/>
          <w:szCs w:val="18"/>
        </w:rPr>
        <w:t>18</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_Toc6346 </w:instrText>
      </w:r>
      <w:r>
        <w:rPr>
          <w:rFonts w:eastAsia="等线"/>
          <w:spacing w:val="0"/>
          <w:sz w:val="28"/>
          <w:szCs w:val="22"/>
          <w:lang w:val="zh-CN"/>
        </w:rPr>
        <w:fldChar w:fldCharType="separate"/>
      </w:r>
      <w:r>
        <w:rPr>
          <w:rFonts w:eastAsia="楷体_GB2312"/>
          <w:kern w:val="0"/>
          <w:sz w:val="28"/>
          <w:szCs w:val="28"/>
        </w:rPr>
        <w:t>（四）绩效分级指标</w:t>
      </w:r>
      <w:r>
        <w:rPr>
          <w:sz w:val="28"/>
          <w:szCs w:val="18"/>
        </w:rPr>
        <w:tab/>
      </w:r>
      <w:r>
        <w:rPr>
          <w:sz w:val="28"/>
          <w:szCs w:val="18"/>
        </w:rPr>
        <w:fldChar w:fldCharType="begin"/>
      </w:r>
      <w:r>
        <w:rPr>
          <w:sz w:val="28"/>
          <w:szCs w:val="18"/>
        </w:rPr>
        <w:instrText xml:space="preserve"> PAGEREF _Toc6346 \h </w:instrText>
      </w:r>
      <w:r>
        <w:rPr>
          <w:sz w:val="28"/>
          <w:szCs w:val="18"/>
        </w:rPr>
        <w:fldChar w:fldCharType="separate"/>
      </w:r>
      <w:r>
        <w:rPr>
          <w:sz w:val="28"/>
          <w:szCs w:val="18"/>
        </w:rPr>
        <w:t>21</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_Toc17764 </w:instrText>
      </w:r>
      <w:r>
        <w:rPr>
          <w:rFonts w:eastAsia="等线"/>
          <w:spacing w:val="0"/>
          <w:sz w:val="28"/>
          <w:szCs w:val="22"/>
          <w:lang w:val="zh-CN"/>
        </w:rPr>
        <w:fldChar w:fldCharType="separate"/>
      </w:r>
      <w:r>
        <w:rPr>
          <w:rFonts w:eastAsia="楷体_GB2312"/>
          <w:kern w:val="0"/>
          <w:sz w:val="28"/>
          <w:szCs w:val="28"/>
        </w:rPr>
        <w:t>（五）减排措施</w:t>
      </w:r>
      <w:r>
        <w:rPr>
          <w:sz w:val="28"/>
          <w:szCs w:val="18"/>
        </w:rPr>
        <w:tab/>
      </w:r>
      <w:r>
        <w:rPr>
          <w:sz w:val="28"/>
          <w:szCs w:val="18"/>
        </w:rPr>
        <w:fldChar w:fldCharType="begin"/>
      </w:r>
      <w:r>
        <w:rPr>
          <w:sz w:val="28"/>
          <w:szCs w:val="18"/>
        </w:rPr>
        <w:instrText xml:space="preserve"> PAGEREF _Toc17764 \h </w:instrText>
      </w:r>
      <w:r>
        <w:rPr>
          <w:sz w:val="28"/>
          <w:szCs w:val="18"/>
        </w:rPr>
        <w:fldChar w:fldCharType="separate"/>
      </w:r>
      <w:r>
        <w:rPr>
          <w:sz w:val="28"/>
          <w:szCs w:val="18"/>
        </w:rPr>
        <w:t>23</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_Toc14067 </w:instrText>
      </w:r>
      <w:r>
        <w:rPr>
          <w:rFonts w:eastAsia="等线"/>
          <w:spacing w:val="0"/>
          <w:sz w:val="28"/>
          <w:szCs w:val="22"/>
          <w:lang w:val="zh-CN"/>
        </w:rPr>
        <w:fldChar w:fldCharType="separate"/>
      </w:r>
      <w:r>
        <w:rPr>
          <w:rFonts w:eastAsia="楷体_GB2312"/>
          <w:kern w:val="0"/>
          <w:sz w:val="28"/>
          <w:szCs w:val="28"/>
        </w:rPr>
        <w:t>（六）核查方法</w:t>
      </w:r>
      <w:r>
        <w:rPr>
          <w:sz w:val="28"/>
          <w:szCs w:val="18"/>
        </w:rPr>
        <w:tab/>
      </w:r>
      <w:r>
        <w:rPr>
          <w:sz w:val="28"/>
          <w:szCs w:val="18"/>
        </w:rPr>
        <w:fldChar w:fldCharType="begin"/>
      </w:r>
      <w:r>
        <w:rPr>
          <w:sz w:val="28"/>
          <w:szCs w:val="18"/>
        </w:rPr>
        <w:instrText xml:space="preserve"> PAGEREF _Toc14067 \h </w:instrText>
      </w:r>
      <w:r>
        <w:rPr>
          <w:sz w:val="28"/>
          <w:szCs w:val="18"/>
        </w:rPr>
        <w:fldChar w:fldCharType="separate"/>
      </w:r>
      <w:r>
        <w:rPr>
          <w:sz w:val="28"/>
          <w:szCs w:val="18"/>
        </w:rPr>
        <w:t>24</w:t>
      </w:r>
      <w:r>
        <w:rPr>
          <w:sz w:val="28"/>
          <w:szCs w:val="18"/>
        </w:rPr>
        <w:fldChar w:fldCharType="end"/>
      </w:r>
      <w:r>
        <w:rPr>
          <w:rFonts w:eastAsia="等线"/>
          <w:spacing w:val="0"/>
          <w:sz w:val="28"/>
          <w:szCs w:val="22"/>
          <w:lang w:val="zh-CN"/>
        </w:rPr>
        <w:fldChar w:fldCharType="end"/>
      </w:r>
    </w:p>
    <w:p>
      <w:pPr>
        <w:pStyle w:val="7"/>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_Toc2275 </w:instrText>
      </w:r>
      <w:r>
        <w:rPr>
          <w:rFonts w:eastAsia="等线"/>
          <w:spacing w:val="0"/>
          <w:sz w:val="28"/>
          <w:szCs w:val="22"/>
          <w:lang w:val="zh-CN"/>
        </w:rPr>
        <w:fldChar w:fldCharType="separate"/>
      </w:r>
      <w:r>
        <w:rPr>
          <w:rFonts w:eastAsia="黑体"/>
          <w:kern w:val="0"/>
          <w:sz w:val="28"/>
          <w:szCs w:val="28"/>
        </w:rPr>
        <w:t>四、塑料制品</w:t>
      </w:r>
      <w:r>
        <w:rPr>
          <w:sz w:val="28"/>
          <w:szCs w:val="18"/>
        </w:rPr>
        <w:tab/>
      </w:r>
      <w:r>
        <w:rPr>
          <w:sz w:val="28"/>
          <w:szCs w:val="18"/>
        </w:rPr>
        <w:fldChar w:fldCharType="begin"/>
      </w:r>
      <w:r>
        <w:rPr>
          <w:sz w:val="28"/>
          <w:szCs w:val="18"/>
        </w:rPr>
        <w:instrText xml:space="preserve"> PAGEREF _Toc2275 \h </w:instrText>
      </w:r>
      <w:r>
        <w:rPr>
          <w:sz w:val="28"/>
          <w:szCs w:val="18"/>
        </w:rPr>
        <w:fldChar w:fldCharType="separate"/>
      </w:r>
      <w:r>
        <w:rPr>
          <w:sz w:val="28"/>
          <w:szCs w:val="18"/>
        </w:rPr>
        <w:t>24</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_Toc14634 </w:instrText>
      </w:r>
      <w:r>
        <w:rPr>
          <w:rFonts w:eastAsia="等线"/>
          <w:spacing w:val="0"/>
          <w:sz w:val="28"/>
          <w:szCs w:val="22"/>
          <w:lang w:val="zh-CN"/>
        </w:rPr>
        <w:fldChar w:fldCharType="separate"/>
      </w:r>
      <w:r>
        <w:rPr>
          <w:rFonts w:eastAsia="楷体_GB2312"/>
          <w:kern w:val="0"/>
          <w:sz w:val="28"/>
          <w:szCs w:val="28"/>
        </w:rPr>
        <w:t>（一）适用范围</w:t>
      </w:r>
      <w:r>
        <w:rPr>
          <w:sz w:val="28"/>
          <w:szCs w:val="18"/>
        </w:rPr>
        <w:tab/>
      </w:r>
      <w:r>
        <w:rPr>
          <w:sz w:val="28"/>
          <w:szCs w:val="18"/>
        </w:rPr>
        <w:fldChar w:fldCharType="begin"/>
      </w:r>
      <w:r>
        <w:rPr>
          <w:sz w:val="28"/>
          <w:szCs w:val="18"/>
        </w:rPr>
        <w:instrText xml:space="preserve"> PAGEREF _Toc14634 \h </w:instrText>
      </w:r>
      <w:r>
        <w:rPr>
          <w:sz w:val="28"/>
          <w:szCs w:val="18"/>
        </w:rPr>
        <w:fldChar w:fldCharType="separate"/>
      </w:r>
      <w:r>
        <w:rPr>
          <w:sz w:val="28"/>
          <w:szCs w:val="18"/>
        </w:rPr>
        <w:t>24</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_Toc10306 </w:instrText>
      </w:r>
      <w:r>
        <w:rPr>
          <w:rFonts w:eastAsia="等线"/>
          <w:spacing w:val="0"/>
          <w:sz w:val="28"/>
          <w:szCs w:val="22"/>
          <w:lang w:val="zh-CN"/>
        </w:rPr>
        <w:fldChar w:fldCharType="separate"/>
      </w:r>
      <w:r>
        <w:rPr>
          <w:rFonts w:eastAsia="楷体_GB2312"/>
          <w:kern w:val="0"/>
          <w:sz w:val="28"/>
          <w:szCs w:val="28"/>
        </w:rPr>
        <w:t>（二）生产工艺</w:t>
      </w:r>
      <w:r>
        <w:rPr>
          <w:sz w:val="28"/>
          <w:szCs w:val="18"/>
        </w:rPr>
        <w:tab/>
      </w:r>
      <w:r>
        <w:rPr>
          <w:sz w:val="28"/>
          <w:szCs w:val="18"/>
        </w:rPr>
        <w:fldChar w:fldCharType="begin"/>
      </w:r>
      <w:r>
        <w:rPr>
          <w:sz w:val="28"/>
          <w:szCs w:val="18"/>
        </w:rPr>
        <w:instrText xml:space="preserve"> PAGEREF _Toc10306 \h </w:instrText>
      </w:r>
      <w:r>
        <w:rPr>
          <w:sz w:val="28"/>
          <w:szCs w:val="18"/>
        </w:rPr>
        <w:fldChar w:fldCharType="separate"/>
      </w:r>
      <w:r>
        <w:rPr>
          <w:sz w:val="28"/>
          <w:szCs w:val="18"/>
        </w:rPr>
        <w:t>24</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_Toc17574 </w:instrText>
      </w:r>
      <w:r>
        <w:rPr>
          <w:rFonts w:eastAsia="等线"/>
          <w:spacing w:val="0"/>
          <w:sz w:val="28"/>
          <w:szCs w:val="22"/>
          <w:lang w:val="zh-CN"/>
        </w:rPr>
        <w:fldChar w:fldCharType="separate"/>
      </w:r>
      <w:r>
        <w:rPr>
          <w:rFonts w:eastAsia="楷体_GB2312"/>
          <w:kern w:val="0"/>
          <w:sz w:val="28"/>
          <w:szCs w:val="28"/>
        </w:rPr>
        <w:t>（三）主要污染物产排环节</w:t>
      </w:r>
      <w:r>
        <w:rPr>
          <w:sz w:val="28"/>
          <w:szCs w:val="18"/>
        </w:rPr>
        <w:tab/>
      </w:r>
      <w:r>
        <w:rPr>
          <w:sz w:val="28"/>
          <w:szCs w:val="18"/>
        </w:rPr>
        <w:fldChar w:fldCharType="begin"/>
      </w:r>
      <w:r>
        <w:rPr>
          <w:sz w:val="28"/>
          <w:szCs w:val="18"/>
        </w:rPr>
        <w:instrText xml:space="preserve"> PAGEREF _Toc17574 \h </w:instrText>
      </w:r>
      <w:r>
        <w:rPr>
          <w:sz w:val="28"/>
          <w:szCs w:val="18"/>
        </w:rPr>
        <w:fldChar w:fldCharType="separate"/>
      </w:r>
      <w:r>
        <w:rPr>
          <w:sz w:val="28"/>
          <w:szCs w:val="18"/>
        </w:rPr>
        <w:t>25</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_Toc13858 </w:instrText>
      </w:r>
      <w:r>
        <w:rPr>
          <w:rFonts w:eastAsia="等线"/>
          <w:spacing w:val="0"/>
          <w:sz w:val="28"/>
          <w:szCs w:val="22"/>
          <w:lang w:val="zh-CN"/>
        </w:rPr>
        <w:fldChar w:fldCharType="separate"/>
      </w:r>
      <w:r>
        <w:rPr>
          <w:rFonts w:eastAsia="楷体_GB2312"/>
          <w:kern w:val="0"/>
          <w:sz w:val="28"/>
          <w:szCs w:val="28"/>
        </w:rPr>
        <w:t>（四）绩效先进性指标</w:t>
      </w:r>
      <w:r>
        <w:rPr>
          <w:sz w:val="28"/>
          <w:szCs w:val="18"/>
        </w:rPr>
        <w:tab/>
      </w:r>
      <w:r>
        <w:rPr>
          <w:sz w:val="28"/>
          <w:szCs w:val="18"/>
        </w:rPr>
        <w:fldChar w:fldCharType="begin"/>
      </w:r>
      <w:r>
        <w:rPr>
          <w:sz w:val="28"/>
          <w:szCs w:val="18"/>
        </w:rPr>
        <w:instrText xml:space="preserve"> PAGEREF _Toc13858 \h </w:instrText>
      </w:r>
      <w:r>
        <w:rPr>
          <w:sz w:val="28"/>
          <w:szCs w:val="18"/>
        </w:rPr>
        <w:fldChar w:fldCharType="separate"/>
      </w:r>
      <w:r>
        <w:rPr>
          <w:sz w:val="28"/>
          <w:szCs w:val="18"/>
        </w:rPr>
        <w:t>26</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_Toc17061 </w:instrText>
      </w:r>
      <w:r>
        <w:rPr>
          <w:rFonts w:eastAsia="等线"/>
          <w:spacing w:val="0"/>
          <w:sz w:val="28"/>
          <w:szCs w:val="22"/>
          <w:lang w:val="zh-CN"/>
        </w:rPr>
        <w:fldChar w:fldCharType="separate"/>
      </w:r>
      <w:r>
        <w:rPr>
          <w:rFonts w:eastAsia="楷体_GB2312"/>
          <w:kern w:val="0"/>
          <w:sz w:val="28"/>
          <w:szCs w:val="28"/>
        </w:rPr>
        <w:t>（五）减排措施</w:t>
      </w:r>
      <w:r>
        <w:rPr>
          <w:sz w:val="28"/>
          <w:szCs w:val="18"/>
        </w:rPr>
        <w:tab/>
      </w:r>
      <w:r>
        <w:rPr>
          <w:sz w:val="28"/>
          <w:szCs w:val="18"/>
        </w:rPr>
        <w:fldChar w:fldCharType="begin"/>
      </w:r>
      <w:r>
        <w:rPr>
          <w:sz w:val="28"/>
          <w:szCs w:val="18"/>
        </w:rPr>
        <w:instrText xml:space="preserve"> PAGEREF _Toc17061 \h </w:instrText>
      </w:r>
      <w:r>
        <w:rPr>
          <w:sz w:val="28"/>
          <w:szCs w:val="18"/>
        </w:rPr>
        <w:fldChar w:fldCharType="separate"/>
      </w:r>
      <w:r>
        <w:rPr>
          <w:sz w:val="28"/>
          <w:szCs w:val="18"/>
        </w:rPr>
        <w:t>28</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_Toc7016 </w:instrText>
      </w:r>
      <w:r>
        <w:rPr>
          <w:rFonts w:eastAsia="等线"/>
          <w:spacing w:val="0"/>
          <w:sz w:val="28"/>
          <w:szCs w:val="22"/>
          <w:lang w:val="zh-CN"/>
        </w:rPr>
        <w:fldChar w:fldCharType="separate"/>
      </w:r>
      <w:r>
        <w:rPr>
          <w:rFonts w:eastAsia="楷体_GB2312"/>
          <w:kern w:val="0"/>
          <w:sz w:val="28"/>
          <w:szCs w:val="28"/>
        </w:rPr>
        <w:t>（六）核查方法</w:t>
      </w:r>
      <w:r>
        <w:rPr>
          <w:sz w:val="28"/>
          <w:szCs w:val="18"/>
        </w:rPr>
        <w:tab/>
      </w:r>
      <w:r>
        <w:rPr>
          <w:sz w:val="28"/>
          <w:szCs w:val="18"/>
        </w:rPr>
        <w:fldChar w:fldCharType="begin"/>
      </w:r>
      <w:r>
        <w:rPr>
          <w:sz w:val="28"/>
          <w:szCs w:val="18"/>
        </w:rPr>
        <w:instrText xml:space="preserve"> PAGEREF _Toc7016 \h </w:instrText>
      </w:r>
      <w:r>
        <w:rPr>
          <w:sz w:val="28"/>
          <w:szCs w:val="18"/>
        </w:rPr>
        <w:fldChar w:fldCharType="separate"/>
      </w:r>
      <w:r>
        <w:rPr>
          <w:sz w:val="28"/>
          <w:szCs w:val="18"/>
        </w:rPr>
        <w:t>28</w:t>
      </w:r>
      <w:r>
        <w:rPr>
          <w:sz w:val="28"/>
          <w:szCs w:val="18"/>
        </w:rPr>
        <w:fldChar w:fldCharType="end"/>
      </w:r>
      <w:r>
        <w:rPr>
          <w:rFonts w:eastAsia="等线"/>
          <w:spacing w:val="0"/>
          <w:sz w:val="28"/>
          <w:szCs w:val="22"/>
          <w:lang w:val="zh-CN"/>
        </w:rPr>
        <w:fldChar w:fldCharType="end"/>
      </w:r>
    </w:p>
    <w:p>
      <w:pPr>
        <w:pStyle w:val="7"/>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_Toc29354 </w:instrText>
      </w:r>
      <w:r>
        <w:rPr>
          <w:rFonts w:eastAsia="等线"/>
          <w:spacing w:val="0"/>
          <w:sz w:val="28"/>
          <w:szCs w:val="22"/>
          <w:lang w:val="zh-CN"/>
        </w:rPr>
        <w:fldChar w:fldCharType="separate"/>
      </w:r>
      <w:r>
        <w:rPr>
          <w:rFonts w:eastAsia="黑体"/>
          <w:kern w:val="0"/>
          <w:sz w:val="28"/>
          <w:szCs w:val="28"/>
        </w:rPr>
        <w:t>五、纸浆制造与造纸行业</w:t>
      </w:r>
      <w:r>
        <w:rPr>
          <w:sz w:val="28"/>
          <w:szCs w:val="18"/>
        </w:rPr>
        <w:tab/>
      </w:r>
      <w:r>
        <w:rPr>
          <w:sz w:val="28"/>
          <w:szCs w:val="18"/>
        </w:rPr>
        <w:fldChar w:fldCharType="begin"/>
      </w:r>
      <w:r>
        <w:rPr>
          <w:sz w:val="28"/>
          <w:szCs w:val="18"/>
        </w:rPr>
        <w:instrText xml:space="preserve"> PAGEREF _Toc29354 \h </w:instrText>
      </w:r>
      <w:r>
        <w:rPr>
          <w:sz w:val="28"/>
          <w:szCs w:val="18"/>
        </w:rPr>
        <w:fldChar w:fldCharType="separate"/>
      </w:r>
      <w:r>
        <w:rPr>
          <w:sz w:val="28"/>
          <w:szCs w:val="18"/>
        </w:rPr>
        <w:t>28</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_Toc29429 </w:instrText>
      </w:r>
      <w:r>
        <w:rPr>
          <w:rFonts w:eastAsia="等线"/>
          <w:spacing w:val="0"/>
          <w:sz w:val="28"/>
          <w:szCs w:val="22"/>
          <w:lang w:val="zh-CN"/>
        </w:rPr>
        <w:fldChar w:fldCharType="separate"/>
      </w:r>
      <w:r>
        <w:rPr>
          <w:rFonts w:eastAsia="楷体_GB2312"/>
          <w:kern w:val="0"/>
          <w:sz w:val="28"/>
          <w:szCs w:val="28"/>
        </w:rPr>
        <w:t>（一）适用范围</w:t>
      </w:r>
      <w:r>
        <w:rPr>
          <w:sz w:val="28"/>
          <w:szCs w:val="18"/>
        </w:rPr>
        <w:tab/>
      </w:r>
      <w:r>
        <w:rPr>
          <w:sz w:val="28"/>
          <w:szCs w:val="18"/>
        </w:rPr>
        <w:fldChar w:fldCharType="begin"/>
      </w:r>
      <w:r>
        <w:rPr>
          <w:sz w:val="28"/>
          <w:szCs w:val="18"/>
        </w:rPr>
        <w:instrText xml:space="preserve"> PAGEREF _Toc29429 \h </w:instrText>
      </w:r>
      <w:r>
        <w:rPr>
          <w:sz w:val="28"/>
          <w:szCs w:val="18"/>
        </w:rPr>
        <w:fldChar w:fldCharType="separate"/>
      </w:r>
      <w:r>
        <w:rPr>
          <w:sz w:val="28"/>
          <w:szCs w:val="18"/>
        </w:rPr>
        <w:t>28</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_Toc8150 </w:instrText>
      </w:r>
      <w:r>
        <w:rPr>
          <w:rFonts w:eastAsia="等线"/>
          <w:spacing w:val="0"/>
          <w:sz w:val="28"/>
          <w:szCs w:val="22"/>
          <w:lang w:val="zh-CN"/>
        </w:rPr>
        <w:fldChar w:fldCharType="separate"/>
      </w:r>
      <w:r>
        <w:rPr>
          <w:rFonts w:eastAsia="楷体_GB2312"/>
          <w:kern w:val="0"/>
          <w:sz w:val="28"/>
          <w:szCs w:val="28"/>
        </w:rPr>
        <w:t>（二）生产工艺</w:t>
      </w:r>
      <w:r>
        <w:rPr>
          <w:sz w:val="28"/>
          <w:szCs w:val="18"/>
        </w:rPr>
        <w:tab/>
      </w:r>
      <w:r>
        <w:rPr>
          <w:sz w:val="28"/>
          <w:szCs w:val="18"/>
        </w:rPr>
        <w:fldChar w:fldCharType="begin"/>
      </w:r>
      <w:r>
        <w:rPr>
          <w:sz w:val="28"/>
          <w:szCs w:val="18"/>
        </w:rPr>
        <w:instrText xml:space="preserve"> PAGEREF _Toc8150 \h </w:instrText>
      </w:r>
      <w:r>
        <w:rPr>
          <w:sz w:val="28"/>
          <w:szCs w:val="18"/>
        </w:rPr>
        <w:fldChar w:fldCharType="separate"/>
      </w:r>
      <w:r>
        <w:rPr>
          <w:sz w:val="28"/>
          <w:szCs w:val="18"/>
        </w:rPr>
        <w:t>28</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_Toc4124 </w:instrText>
      </w:r>
      <w:r>
        <w:rPr>
          <w:rFonts w:eastAsia="等线"/>
          <w:spacing w:val="0"/>
          <w:sz w:val="28"/>
          <w:szCs w:val="22"/>
          <w:lang w:val="zh-CN"/>
        </w:rPr>
        <w:fldChar w:fldCharType="separate"/>
      </w:r>
      <w:r>
        <w:rPr>
          <w:rFonts w:eastAsia="楷体_GB2312"/>
          <w:kern w:val="0"/>
          <w:sz w:val="28"/>
          <w:szCs w:val="28"/>
        </w:rPr>
        <w:t>（三）主要污染物产排环节</w:t>
      </w:r>
      <w:r>
        <w:rPr>
          <w:sz w:val="28"/>
          <w:szCs w:val="18"/>
        </w:rPr>
        <w:tab/>
      </w:r>
      <w:r>
        <w:rPr>
          <w:sz w:val="28"/>
          <w:szCs w:val="18"/>
        </w:rPr>
        <w:fldChar w:fldCharType="begin"/>
      </w:r>
      <w:r>
        <w:rPr>
          <w:sz w:val="28"/>
          <w:szCs w:val="18"/>
        </w:rPr>
        <w:instrText xml:space="preserve"> PAGEREF _Toc4124 \h </w:instrText>
      </w:r>
      <w:r>
        <w:rPr>
          <w:sz w:val="28"/>
          <w:szCs w:val="18"/>
        </w:rPr>
        <w:fldChar w:fldCharType="separate"/>
      </w:r>
      <w:r>
        <w:rPr>
          <w:sz w:val="28"/>
          <w:szCs w:val="18"/>
        </w:rPr>
        <w:t>30</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_Toc6654 </w:instrText>
      </w:r>
      <w:r>
        <w:rPr>
          <w:rFonts w:eastAsia="等线"/>
          <w:spacing w:val="0"/>
          <w:sz w:val="28"/>
          <w:szCs w:val="22"/>
          <w:lang w:val="zh-CN"/>
        </w:rPr>
        <w:fldChar w:fldCharType="separate"/>
      </w:r>
      <w:r>
        <w:rPr>
          <w:rFonts w:eastAsia="楷体_GB2312"/>
          <w:kern w:val="0"/>
          <w:sz w:val="28"/>
          <w:szCs w:val="28"/>
        </w:rPr>
        <w:t>（四）绩效引领性指标</w:t>
      </w:r>
      <w:r>
        <w:rPr>
          <w:sz w:val="28"/>
          <w:szCs w:val="18"/>
        </w:rPr>
        <w:tab/>
      </w:r>
      <w:r>
        <w:rPr>
          <w:sz w:val="28"/>
          <w:szCs w:val="18"/>
        </w:rPr>
        <w:fldChar w:fldCharType="begin"/>
      </w:r>
      <w:r>
        <w:rPr>
          <w:sz w:val="28"/>
          <w:szCs w:val="18"/>
        </w:rPr>
        <w:instrText xml:space="preserve"> PAGEREF _Toc6654 \h </w:instrText>
      </w:r>
      <w:r>
        <w:rPr>
          <w:sz w:val="28"/>
          <w:szCs w:val="18"/>
        </w:rPr>
        <w:fldChar w:fldCharType="separate"/>
      </w:r>
      <w:r>
        <w:rPr>
          <w:sz w:val="28"/>
          <w:szCs w:val="18"/>
        </w:rPr>
        <w:t>31</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_Toc28136 </w:instrText>
      </w:r>
      <w:r>
        <w:rPr>
          <w:rFonts w:eastAsia="等线"/>
          <w:spacing w:val="0"/>
          <w:sz w:val="28"/>
          <w:szCs w:val="22"/>
          <w:lang w:val="zh-CN"/>
        </w:rPr>
        <w:fldChar w:fldCharType="separate"/>
      </w:r>
      <w:r>
        <w:rPr>
          <w:rFonts w:eastAsia="楷体_GB2312"/>
          <w:kern w:val="0"/>
          <w:sz w:val="28"/>
          <w:szCs w:val="28"/>
        </w:rPr>
        <w:t>（五）减排措施</w:t>
      </w:r>
      <w:r>
        <w:rPr>
          <w:sz w:val="28"/>
          <w:szCs w:val="18"/>
        </w:rPr>
        <w:tab/>
      </w:r>
      <w:r>
        <w:rPr>
          <w:sz w:val="28"/>
          <w:szCs w:val="18"/>
        </w:rPr>
        <w:fldChar w:fldCharType="begin"/>
      </w:r>
      <w:r>
        <w:rPr>
          <w:sz w:val="28"/>
          <w:szCs w:val="18"/>
        </w:rPr>
        <w:instrText xml:space="preserve"> PAGEREF _Toc28136 \h </w:instrText>
      </w:r>
      <w:r>
        <w:rPr>
          <w:sz w:val="28"/>
          <w:szCs w:val="18"/>
        </w:rPr>
        <w:fldChar w:fldCharType="separate"/>
      </w:r>
      <w:r>
        <w:rPr>
          <w:sz w:val="28"/>
          <w:szCs w:val="18"/>
        </w:rPr>
        <w:t>34</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_Toc22630 </w:instrText>
      </w:r>
      <w:r>
        <w:rPr>
          <w:rFonts w:eastAsia="等线"/>
          <w:spacing w:val="0"/>
          <w:sz w:val="28"/>
          <w:szCs w:val="22"/>
          <w:lang w:val="zh-CN"/>
        </w:rPr>
        <w:fldChar w:fldCharType="separate"/>
      </w:r>
      <w:r>
        <w:rPr>
          <w:rFonts w:eastAsia="楷体_GB2312"/>
          <w:kern w:val="0"/>
          <w:sz w:val="28"/>
          <w:szCs w:val="28"/>
        </w:rPr>
        <w:t>（六）核查方法</w:t>
      </w:r>
      <w:r>
        <w:rPr>
          <w:sz w:val="28"/>
          <w:szCs w:val="18"/>
        </w:rPr>
        <w:tab/>
      </w:r>
      <w:r>
        <w:rPr>
          <w:sz w:val="28"/>
          <w:szCs w:val="18"/>
        </w:rPr>
        <w:fldChar w:fldCharType="begin"/>
      </w:r>
      <w:r>
        <w:rPr>
          <w:sz w:val="28"/>
          <w:szCs w:val="18"/>
        </w:rPr>
        <w:instrText xml:space="preserve"> PAGEREF _Toc22630 \h </w:instrText>
      </w:r>
      <w:r>
        <w:rPr>
          <w:sz w:val="28"/>
          <w:szCs w:val="18"/>
        </w:rPr>
        <w:fldChar w:fldCharType="separate"/>
      </w:r>
      <w:r>
        <w:rPr>
          <w:sz w:val="28"/>
          <w:szCs w:val="18"/>
        </w:rPr>
        <w:t>34</w:t>
      </w:r>
      <w:r>
        <w:rPr>
          <w:sz w:val="28"/>
          <w:szCs w:val="18"/>
        </w:rPr>
        <w:fldChar w:fldCharType="end"/>
      </w:r>
      <w:r>
        <w:rPr>
          <w:rFonts w:eastAsia="等线"/>
          <w:spacing w:val="0"/>
          <w:sz w:val="28"/>
          <w:szCs w:val="22"/>
          <w:lang w:val="zh-CN"/>
        </w:rPr>
        <w:fldChar w:fldCharType="end"/>
      </w:r>
    </w:p>
    <w:p>
      <w:pPr>
        <w:pStyle w:val="7"/>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_Toc30061 </w:instrText>
      </w:r>
      <w:r>
        <w:rPr>
          <w:rFonts w:eastAsia="等线"/>
          <w:spacing w:val="0"/>
          <w:sz w:val="28"/>
          <w:szCs w:val="22"/>
          <w:lang w:val="zh-CN"/>
        </w:rPr>
        <w:fldChar w:fldCharType="separate"/>
      </w:r>
      <w:r>
        <w:rPr>
          <w:rFonts w:eastAsia="黑体"/>
          <w:kern w:val="0"/>
          <w:sz w:val="28"/>
          <w:szCs w:val="28"/>
        </w:rPr>
        <w:t>六、沥青混合料搅拌站</w:t>
      </w:r>
      <w:r>
        <w:rPr>
          <w:sz w:val="28"/>
          <w:szCs w:val="18"/>
        </w:rPr>
        <w:tab/>
      </w:r>
      <w:r>
        <w:rPr>
          <w:sz w:val="28"/>
          <w:szCs w:val="18"/>
        </w:rPr>
        <w:fldChar w:fldCharType="begin"/>
      </w:r>
      <w:r>
        <w:rPr>
          <w:sz w:val="28"/>
          <w:szCs w:val="18"/>
        </w:rPr>
        <w:instrText xml:space="preserve"> PAGEREF _Toc30061 \h </w:instrText>
      </w:r>
      <w:r>
        <w:rPr>
          <w:sz w:val="28"/>
          <w:szCs w:val="18"/>
        </w:rPr>
        <w:fldChar w:fldCharType="separate"/>
      </w:r>
      <w:r>
        <w:rPr>
          <w:sz w:val="28"/>
          <w:szCs w:val="18"/>
        </w:rPr>
        <w:t>34</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_Toc6977 </w:instrText>
      </w:r>
      <w:r>
        <w:rPr>
          <w:rFonts w:eastAsia="等线"/>
          <w:spacing w:val="0"/>
          <w:sz w:val="28"/>
          <w:szCs w:val="22"/>
          <w:lang w:val="zh-CN"/>
        </w:rPr>
        <w:fldChar w:fldCharType="separate"/>
      </w:r>
      <w:r>
        <w:rPr>
          <w:rFonts w:eastAsia="楷体_GB2312"/>
          <w:kern w:val="0"/>
          <w:sz w:val="28"/>
          <w:szCs w:val="28"/>
        </w:rPr>
        <w:t>（一）适用范围</w:t>
      </w:r>
      <w:r>
        <w:rPr>
          <w:sz w:val="28"/>
          <w:szCs w:val="18"/>
        </w:rPr>
        <w:tab/>
      </w:r>
      <w:r>
        <w:rPr>
          <w:sz w:val="28"/>
          <w:szCs w:val="18"/>
        </w:rPr>
        <w:fldChar w:fldCharType="begin"/>
      </w:r>
      <w:r>
        <w:rPr>
          <w:sz w:val="28"/>
          <w:szCs w:val="18"/>
        </w:rPr>
        <w:instrText xml:space="preserve"> PAGEREF _Toc6977 \h </w:instrText>
      </w:r>
      <w:r>
        <w:rPr>
          <w:sz w:val="28"/>
          <w:szCs w:val="18"/>
        </w:rPr>
        <w:fldChar w:fldCharType="separate"/>
      </w:r>
      <w:r>
        <w:rPr>
          <w:sz w:val="28"/>
          <w:szCs w:val="18"/>
        </w:rPr>
        <w:t>34</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_Toc15286 </w:instrText>
      </w:r>
      <w:r>
        <w:rPr>
          <w:rFonts w:eastAsia="等线"/>
          <w:spacing w:val="0"/>
          <w:sz w:val="28"/>
          <w:szCs w:val="22"/>
          <w:lang w:val="zh-CN"/>
        </w:rPr>
        <w:fldChar w:fldCharType="separate"/>
      </w:r>
      <w:r>
        <w:rPr>
          <w:rFonts w:eastAsia="楷体_GB2312"/>
          <w:kern w:val="0"/>
          <w:sz w:val="28"/>
          <w:szCs w:val="28"/>
        </w:rPr>
        <w:t>（二）生产工艺</w:t>
      </w:r>
      <w:r>
        <w:rPr>
          <w:sz w:val="28"/>
          <w:szCs w:val="18"/>
        </w:rPr>
        <w:tab/>
      </w:r>
      <w:r>
        <w:rPr>
          <w:sz w:val="28"/>
          <w:szCs w:val="18"/>
        </w:rPr>
        <w:fldChar w:fldCharType="begin"/>
      </w:r>
      <w:r>
        <w:rPr>
          <w:sz w:val="28"/>
          <w:szCs w:val="18"/>
        </w:rPr>
        <w:instrText xml:space="preserve"> PAGEREF _Toc15286 \h </w:instrText>
      </w:r>
      <w:r>
        <w:rPr>
          <w:sz w:val="28"/>
          <w:szCs w:val="18"/>
        </w:rPr>
        <w:fldChar w:fldCharType="separate"/>
      </w:r>
      <w:r>
        <w:rPr>
          <w:sz w:val="28"/>
          <w:szCs w:val="18"/>
        </w:rPr>
        <w:t>34</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_Toc19061 </w:instrText>
      </w:r>
      <w:r>
        <w:rPr>
          <w:rFonts w:eastAsia="等线"/>
          <w:spacing w:val="0"/>
          <w:sz w:val="28"/>
          <w:szCs w:val="22"/>
          <w:lang w:val="zh-CN"/>
        </w:rPr>
        <w:fldChar w:fldCharType="separate"/>
      </w:r>
      <w:r>
        <w:rPr>
          <w:rFonts w:eastAsia="楷体_GB2312"/>
          <w:kern w:val="0"/>
          <w:sz w:val="28"/>
          <w:szCs w:val="28"/>
        </w:rPr>
        <w:t>（三）主要污染物产排环节</w:t>
      </w:r>
      <w:r>
        <w:rPr>
          <w:sz w:val="28"/>
          <w:szCs w:val="18"/>
        </w:rPr>
        <w:tab/>
      </w:r>
      <w:r>
        <w:rPr>
          <w:sz w:val="28"/>
          <w:szCs w:val="18"/>
        </w:rPr>
        <w:fldChar w:fldCharType="begin"/>
      </w:r>
      <w:r>
        <w:rPr>
          <w:sz w:val="28"/>
          <w:szCs w:val="18"/>
        </w:rPr>
        <w:instrText xml:space="preserve"> PAGEREF _Toc19061 \h </w:instrText>
      </w:r>
      <w:r>
        <w:rPr>
          <w:sz w:val="28"/>
          <w:szCs w:val="18"/>
        </w:rPr>
        <w:fldChar w:fldCharType="separate"/>
      </w:r>
      <w:r>
        <w:rPr>
          <w:sz w:val="28"/>
          <w:szCs w:val="18"/>
        </w:rPr>
        <w:t>35</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_Toc7183 </w:instrText>
      </w:r>
      <w:r>
        <w:rPr>
          <w:rFonts w:eastAsia="等线"/>
          <w:spacing w:val="0"/>
          <w:sz w:val="28"/>
          <w:szCs w:val="22"/>
          <w:lang w:val="zh-CN"/>
        </w:rPr>
        <w:fldChar w:fldCharType="separate"/>
      </w:r>
      <w:r>
        <w:rPr>
          <w:rFonts w:eastAsia="楷体_GB2312"/>
          <w:kern w:val="0"/>
          <w:sz w:val="28"/>
          <w:szCs w:val="28"/>
        </w:rPr>
        <w:t>（四）绩效分级指标</w:t>
      </w:r>
      <w:r>
        <w:rPr>
          <w:sz w:val="28"/>
          <w:szCs w:val="18"/>
        </w:rPr>
        <w:tab/>
      </w:r>
      <w:r>
        <w:rPr>
          <w:sz w:val="28"/>
          <w:szCs w:val="18"/>
        </w:rPr>
        <w:fldChar w:fldCharType="begin"/>
      </w:r>
      <w:r>
        <w:rPr>
          <w:sz w:val="28"/>
          <w:szCs w:val="18"/>
        </w:rPr>
        <w:instrText xml:space="preserve"> PAGEREF _Toc7183 \h </w:instrText>
      </w:r>
      <w:r>
        <w:rPr>
          <w:sz w:val="28"/>
          <w:szCs w:val="18"/>
        </w:rPr>
        <w:fldChar w:fldCharType="separate"/>
      </w:r>
      <w:r>
        <w:rPr>
          <w:sz w:val="28"/>
          <w:szCs w:val="18"/>
        </w:rPr>
        <w:t>36</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_Toc814 </w:instrText>
      </w:r>
      <w:r>
        <w:rPr>
          <w:rFonts w:eastAsia="等线"/>
          <w:spacing w:val="0"/>
          <w:sz w:val="28"/>
          <w:szCs w:val="22"/>
          <w:lang w:val="zh-CN"/>
        </w:rPr>
        <w:fldChar w:fldCharType="separate"/>
      </w:r>
      <w:r>
        <w:rPr>
          <w:rFonts w:eastAsia="楷体_GB2312"/>
          <w:kern w:val="0"/>
          <w:sz w:val="28"/>
          <w:szCs w:val="28"/>
        </w:rPr>
        <w:t>（五）减排措施</w:t>
      </w:r>
      <w:r>
        <w:rPr>
          <w:sz w:val="28"/>
          <w:szCs w:val="18"/>
        </w:rPr>
        <w:tab/>
      </w:r>
      <w:r>
        <w:rPr>
          <w:sz w:val="28"/>
          <w:szCs w:val="18"/>
        </w:rPr>
        <w:fldChar w:fldCharType="begin"/>
      </w:r>
      <w:r>
        <w:rPr>
          <w:sz w:val="28"/>
          <w:szCs w:val="18"/>
        </w:rPr>
        <w:instrText xml:space="preserve"> PAGEREF _Toc814 \h </w:instrText>
      </w:r>
      <w:r>
        <w:rPr>
          <w:sz w:val="28"/>
          <w:szCs w:val="18"/>
        </w:rPr>
        <w:fldChar w:fldCharType="separate"/>
      </w:r>
      <w:r>
        <w:rPr>
          <w:sz w:val="28"/>
          <w:szCs w:val="18"/>
        </w:rPr>
        <w:t>39</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_Toc31165 </w:instrText>
      </w:r>
      <w:r>
        <w:rPr>
          <w:rFonts w:eastAsia="等线"/>
          <w:spacing w:val="0"/>
          <w:sz w:val="28"/>
          <w:szCs w:val="22"/>
          <w:lang w:val="zh-CN"/>
        </w:rPr>
        <w:fldChar w:fldCharType="separate"/>
      </w:r>
      <w:r>
        <w:rPr>
          <w:rFonts w:eastAsia="楷体_GB2312"/>
          <w:kern w:val="0"/>
          <w:sz w:val="28"/>
          <w:szCs w:val="28"/>
        </w:rPr>
        <w:t>（六）核查方法</w:t>
      </w:r>
      <w:r>
        <w:rPr>
          <w:sz w:val="28"/>
          <w:szCs w:val="18"/>
        </w:rPr>
        <w:tab/>
      </w:r>
      <w:r>
        <w:rPr>
          <w:sz w:val="28"/>
          <w:szCs w:val="18"/>
        </w:rPr>
        <w:fldChar w:fldCharType="begin"/>
      </w:r>
      <w:r>
        <w:rPr>
          <w:sz w:val="28"/>
          <w:szCs w:val="18"/>
        </w:rPr>
        <w:instrText xml:space="preserve"> PAGEREF _Toc31165 \h </w:instrText>
      </w:r>
      <w:r>
        <w:rPr>
          <w:sz w:val="28"/>
          <w:szCs w:val="18"/>
        </w:rPr>
        <w:fldChar w:fldCharType="separate"/>
      </w:r>
      <w:r>
        <w:rPr>
          <w:sz w:val="28"/>
          <w:szCs w:val="18"/>
        </w:rPr>
        <w:t>39</w:t>
      </w:r>
      <w:r>
        <w:rPr>
          <w:sz w:val="28"/>
          <w:szCs w:val="18"/>
        </w:rPr>
        <w:fldChar w:fldCharType="end"/>
      </w:r>
      <w:r>
        <w:rPr>
          <w:rFonts w:eastAsia="等线"/>
          <w:spacing w:val="0"/>
          <w:sz w:val="28"/>
          <w:szCs w:val="22"/>
          <w:lang w:val="zh-CN"/>
        </w:rPr>
        <w:fldChar w:fldCharType="end"/>
      </w:r>
    </w:p>
    <w:p>
      <w:pPr>
        <w:pStyle w:val="7"/>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_Toc4924 </w:instrText>
      </w:r>
      <w:r>
        <w:rPr>
          <w:rFonts w:eastAsia="等线"/>
          <w:spacing w:val="0"/>
          <w:sz w:val="28"/>
          <w:szCs w:val="22"/>
          <w:lang w:val="zh-CN"/>
        </w:rPr>
        <w:fldChar w:fldCharType="separate"/>
      </w:r>
      <w:r>
        <w:rPr>
          <w:rFonts w:eastAsia="黑体"/>
          <w:kern w:val="0"/>
          <w:sz w:val="28"/>
          <w:szCs w:val="28"/>
        </w:rPr>
        <w:t>七、有机化工</w:t>
      </w:r>
      <w:r>
        <w:rPr>
          <w:sz w:val="28"/>
          <w:szCs w:val="18"/>
        </w:rPr>
        <w:tab/>
      </w:r>
      <w:r>
        <w:rPr>
          <w:sz w:val="28"/>
          <w:szCs w:val="18"/>
        </w:rPr>
        <w:fldChar w:fldCharType="begin"/>
      </w:r>
      <w:r>
        <w:rPr>
          <w:sz w:val="28"/>
          <w:szCs w:val="18"/>
        </w:rPr>
        <w:instrText xml:space="preserve"> PAGEREF _Toc4924 \h </w:instrText>
      </w:r>
      <w:r>
        <w:rPr>
          <w:sz w:val="28"/>
          <w:szCs w:val="18"/>
        </w:rPr>
        <w:fldChar w:fldCharType="separate"/>
      </w:r>
      <w:r>
        <w:rPr>
          <w:sz w:val="28"/>
          <w:szCs w:val="18"/>
        </w:rPr>
        <w:t>40</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_Toc3174 </w:instrText>
      </w:r>
      <w:r>
        <w:rPr>
          <w:rFonts w:eastAsia="等线"/>
          <w:spacing w:val="0"/>
          <w:sz w:val="28"/>
          <w:szCs w:val="22"/>
          <w:lang w:val="zh-CN"/>
        </w:rPr>
        <w:fldChar w:fldCharType="separate"/>
      </w:r>
      <w:r>
        <w:rPr>
          <w:rFonts w:eastAsia="楷体_GB2312"/>
          <w:kern w:val="0"/>
          <w:sz w:val="28"/>
          <w:szCs w:val="28"/>
        </w:rPr>
        <w:t>（一）适用范围</w:t>
      </w:r>
      <w:r>
        <w:rPr>
          <w:sz w:val="28"/>
          <w:szCs w:val="18"/>
        </w:rPr>
        <w:tab/>
      </w:r>
      <w:r>
        <w:rPr>
          <w:sz w:val="28"/>
          <w:szCs w:val="18"/>
        </w:rPr>
        <w:fldChar w:fldCharType="begin"/>
      </w:r>
      <w:r>
        <w:rPr>
          <w:sz w:val="28"/>
          <w:szCs w:val="18"/>
        </w:rPr>
        <w:instrText xml:space="preserve"> PAGEREF _Toc3174 \h </w:instrText>
      </w:r>
      <w:r>
        <w:rPr>
          <w:sz w:val="28"/>
          <w:szCs w:val="18"/>
        </w:rPr>
        <w:fldChar w:fldCharType="separate"/>
      </w:r>
      <w:r>
        <w:rPr>
          <w:sz w:val="28"/>
          <w:szCs w:val="18"/>
        </w:rPr>
        <w:t>40</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_Toc22627 </w:instrText>
      </w:r>
      <w:r>
        <w:rPr>
          <w:rFonts w:eastAsia="等线"/>
          <w:spacing w:val="0"/>
          <w:sz w:val="28"/>
          <w:szCs w:val="22"/>
          <w:lang w:val="zh-CN"/>
        </w:rPr>
        <w:fldChar w:fldCharType="separate"/>
      </w:r>
      <w:r>
        <w:rPr>
          <w:rFonts w:eastAsia="楷体_GB2312"/>
          <w:kern w:val="0"/>
          <w:sz w:val="28"/>
          <w:szCs w:val="28"/>
        </w:rPr>
        <w:t>（二）生产工艺</w:t>
      </w:r>
      <w:r>
        <w:rPr>
          <w:sz w:val="28"/>
          <w:szCs w:val="18"/>
        </w:rPr>
        <w:tab/>
      </w:r>
      <w:r>
        <w:rPr>
          <w:sz w:val="28"/>
          <w:szCs w:val="18"/>
        </w:rPr>
        <w:fldChar w:fldCharType="begin"/>
      </w:r>
      <w:r>
        <w:rPr>
          <w:sz w:val="28"/>
          <w:szCs w:val="18"/>
        </w:rPr>
        <w:instrText xml:space="preserve"> PAGEREF _Toc22627 \h </w:instrText>
      </w:r>
      <w:r>
        <w:rPr>
          <w:sz w:val="28"/>
          <w:szCs w:val="18"/>
        </w:rPr>
        <w:fldChar w:fldCharType="separate"/>
      </w:r>
      <w:r>
        <w:rPr>
          <w:sz w:val="28"/>
          <w:szCs w:val="18"/>
        </w:rPr>
        <w:t>40</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_Toc29872 </w:instrText>
      </w:r>
      <w:r>
        <w:rPr>
          <w:rFonts w:eastAsia="等线"/>
          <w:spacing w:val="0"/>
          <w:sz w:val="28"/>
          <w:szCs w:val="22"/>
          <w:lang w:val="zh-CN"/>
        </w:rPr>
        <w:fldChar w:fldCharType="separate"/>
      </w:r>
      <w:r>
        <w:rPr>
          <w:rFonts w:eastAsia="楷体_GB2312"/>
          <w:kern w:val="0"/>
          <w:sz w:val="28"/>
          <w:szCs w:val="28"/>
        </w:rPr>
        <w:t>（三）主要污染物产排环节</w:t>
      </w:r>
      <w:r>
        <w:rPr>
          <w:sz w:val="28"/>
          <w:szCs w:val="18"/>
        </w:rPr>
        <w:tab/>
      </w:r>
      <w:r>
        <w:rPr>
          <w:sz w:val="28"/>
          <w:szCs w:val="18"/>
        </w:rPr>
        <w:fldChar w:fldCharType="begin"/>
      </w:r>
      <w:r>
        <w:rPr>
          <w:sz w:val="28"/>
          <w:szCs w:val="18"/>
        </w:rPr>
        <w:instrText xml:space="preserve"> PAGEREF _Toc29872 \h </w:instrText>
      </w:r>
      <w:r>
        <w:rPr>
          <w:sz w:val="28"/>
          <w:szCs w:val="18"/>
        </w:rPr>
        <w:fldChar w:fldCharType="separate"/>
      </w:r>
      <w:r>
        <w:rPr>
          <w:sz w:val="28"/>
          <w:szCs w:val="18"/>
        </w:rPr>
        <w:t>40</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_Toc27377 </w:instrText>
      </w:r>
      <w:r>
        <w:rPr>
          <w:rFonts w:eastAsia="等线"/>
          <w:spacing w:val="0"/>
          <w:sz w:val="28"/>
          <w:szCs w:val="22"/>
          <w:lang w:val="zh-CN"/>
        </w:rPr>
        <w:fldChar w:fldCharType="separate"/>
      </w:r>
      <w:r>
        <w:rPr>
          <w:rFonts w:eastAsia="楷体_GB2312"/>
          <w:kern w:val="0"/>
          <w:sz w:val="28"/>
          <w:szCs w:val="28"/>
        </w:rPr>
        <w:t>（四）绩效分级指标</w:t>
      </w:r>
      <w:r>
        <w:rPr>
          <w:sz w:val="28"/>
          <w:szCs w:val="18"/>
        </w:rPr>
        <w:tab/>
      </w:r>
      <w:r>
        <w:rPr>
          <w:sz w:val="28"/>
          <w:szCs w:val="18"/>
        </w:rPr>
        <w:fldChar w:fldCharType="begin"/>
      </w:r>
      <w:r>
        <w:rPr>
          <w:sz w:val="28"/>
          <w:szCs w:val="18"/>
        </w:rPr>
        <w:instrText xml:space="preserve"> PAGEREF _Toc27377 \h </w:instrText>
      </w:r>
      <w:r>
        <w:rPr>
          <w:sz w:val="28"/>
          <w:szCs w:val="18"/>
        </w:rPr>
        <w:fldChar w:fldCharType="separate"/>
      </w:r>
      <w:r>
        <w:rPr>
          <w:sz w:val="28"/>
          <w:szCs w:val="18"/>
        </w:rPr>
        <w:t>42</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_Toc737 </w:instrText>
      </w:r>
      <w:r>
        <w:rPr>
          <w:rFonts w:eastAsia="等线"/>
          <w:spacing w:val="0"/>
          <w:sz w:val="28"/>
          <w:szCs w:val="22"/>
          <w:lang w:val="zh-CN"/>
        </w:rPr>
        <w:fldChar w:fldCharType="separate"/>
      </w:r>
      <w:r>
        <w:rPr>
          <w:rFonts w:eastAsia="楷体_GB2312"/>
          <w:kern w:val="0"/>
          <w:sz w:val="28"/>
          <w:szCs w:val="28"/>
        </w:rPr>
        <w:t>（五）减排措施</w:t>
      </w:r>
      <w:r>
        <w:rPr>
          <w:sz w:val="28"/>
          <w:szCs w:val="18"/>
        </w:rPr>
        <w:tab/>
      </w:r>
      <w:r>
        <w:rPr>
          <w:sz w:val="28"/>
          <w:szCs w:val="18"/>
        </w:rPr>
        <w:fldChar w:fldCharType="begin"/>
      </w:r>
      <w:r>
        <w:rPr>
          <w:sz w:val="28"/>
          <w:szCs w:val="18"/>
        </w:rPr>
        <w:instrText xml:space="preserve"> PAGEREF _Toc737 \h </w:instrText>
      </w:r>
      <w:r>
        <w:rPr>
          <w:sz w:val="28"/>
          <w:szCs w:val="18"/>
        </w:rPr>
        <w:fldChar w:fldCharType="separate"/>
      </w:r>
      <w:r>
        <w:rPr>
          <w:sz w:val="28"/>
          <w:szCs w:val="18"/>
        </w:rPr>
        <w:t>46</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_Toc30310 </w:instrText>
      </w:r>
      <w:r>
        <w:rPr>
          <w:rFonts w:eastAsia="等线"/>
          <w:spacing w:val="0"/>
          <w:sz w:val="28"/>
          <w:szCs w:val="22"/>
          <w:lang w:val="zh-CN"/>
        </w:rPr>
        <w:fldChar w:fldCharType="separate"/>
      </w:r>
      <w:r>
        <w:rPr>
          <w:rFonts w:eastAsia="楷体_GB2312"/>
          <w:kern w:val="0"/>
          <w:sz w:val="28"/>
          <w:szCs w:val="28"/>
        </w:rPr>
        <w:t>（六）核查方法</w:t>
      </w:r>
      <w:r>
        <w:rPr>
          <w:sz w:val="28"/>
          <w:szCs w:val="18"/>
        </w:rPr>
        <w:tab/>
      </w:r>
      <w:r>
        <w:rPr>
          <w:sz w:val="28"/>
          <w:szCs w:val="18"/>
        </w:rPr>
        <w:fldChar w:fldCharType="begin"/>
      </w:r>
      <w:r>
        <w:rPr>
          <w:sz w:val="28"/>
          <w:szCs w:val="18"/>
        </w:rPr>
        <w:instrText xml:space="preserve"> PAGEREF _Toc30310 \h </w:instrText>
      </w:r>
      <w:r>
        <w:rPr>
          <w:sz w:val="28"/>
          <w:szCs w:val="18"/>
        </w:rPr>
        <w:fldChar w:fldCharType="separate"/>
      </w:r>
      <w:r>
        <w:rPr>
          <w:sz w:val="28"/>
          <w:szCs w:val="18"/>
        </w:rPr>
        <w:t>47</w:t>
      </w:r>
      <w:r>
        <w:rPr>
          <w:sz w:val="28"/>
          <w:szCs w:val="18"/>
        </w:rPr>
        <w:fldChar w:fldCharType="end"/>
      </w:r>
      <w:r>
        <w:rPr>
          <w:rFonts w:eastAsia="等线"/>
          <w:spacing w:val="0"/>
          <w:sz w:val="28"/>
          <w:szCs w:val="22"/>
          <w:lang w:val="zh-CN"/>
        </w:rPr>
        <w:fldChar w:fldCharType="end"/>
      </w:r>
    </w:p>
    <w:p>
      <w:pPr>
        <w:pStyle w:val="7"/>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_Toc10124 </w:instrText>
      </w:r>
      <w:r>
        <w:rPr>
          <w:rFonts w:eastAsia="等线"/>
          <w:spacing w:val="0"/>
          <w:sz w:val="28"/>
          <w:szCs w:val="22"/>
          <w:lang w:val="zh-CN"/>
        </w:rPr>
        <w:fldChar w:fldCharType="separate"/>
      </w:r>
      <w:r>
        <w:rPr>
          <w:rFonts w:eastAsia="黑体"/>
          <w:kern w:val="0"/>
          <w:sz w:val="28"/>
          <w:szCs w:val="28"/>
        </w:rPr>
        <w:t>八、电子工业</w:t>
      </w:r>
      <w:r>
        <w:rPr>
          <w:sz w:val="28"/>
          <w:szCs w:val="18"/>
        </w:rPr>
        <w:tab/>
      </w:r>
      <w:r>
        <w:rPr>
          <w:sz w:val="28"/>
          <w:szCs w:val="18"/>
        </w:rPr>
        <w:fldChar w:fldCharType="begin"/>
      </w:r>
      <w:r>
        <w:rPr>
          <w:sz w:val="28"/>
          <w:szCs w:val="18"/>
        </w:rPr>
        <w:instrText xml:space="preserve"> PAGEREF _Toc10124 \h </w:instrText>
      </w:r>
      <w:r>
        <w:rPr>
          <w:sz w:val="28"/>
          <w:szCs w:val="18"/>
        </w:rPr>
        <w:fldChar w:fldCharType="separate"/>
      </w:r>
      <w:r>
        <w:rPr>
          <w:sz w:val="28"/>
          <w:szCs w:val="18"/>
        </w:rPr>
        <w:t>47</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_Toc30699 </w:instrText>
      </w:r>
      <w:r>
        <w:rPr>
          <w:rFonts w:eastAsia="等线"/>
          <w:spacing w:val="0"/>
          <w:sz w:val="28"/>
          <w:szCs w:val="22"/>
          <w:lang w:val="zh-CN"/>
        </w:rPr>
        <w:fldChar w:fldCharType="separate"/>
      </w:r>
      <w:r>
        <w:rPr>
          <w:rFonts w:eastAsia="楷体_GB2312"/>
          <w:kern w:val="0"/>
          <w:sz w:val="28"/>
          <w:szCs w:val="28"/>
        </w:rPr>
        <w:t>（一）适用范围</w:t>
      </w:r>
      <w:r>
        <w:rPr>
          <w:sz w:val="28"/>
          <w:szCs w:val="18"/>
        </w:rPr>
        <w:tab/>
      </w:r>
      <w:r>
        <w:rPr>
          <w:sz w:val="28"/>
          <w:szCs w:val="18"/>
        </w:rPr>
        <w:fldChar w:fldCharType="begin"/>
      </w:r>
      <w:r>
        <w:rPr>
          <w:sz w:val="28"/>
          <w:szCs w:val="18"/>
        </w:rPr>
        <w:instrText xml:space="preserve"> PAGEREF _Toc30699 \h </w:instrText>
      </w:r>
      <w:r>
        <w:rPr>
          <w:sz w:val="28"/>
          <w:szCs w:val="18"/>
        </w:rPr>
        <w:fldChar w:fldCharType="separate"/>
      </w:r>
      <w:r>
        <w:rPr>
          <w:sz w:val="28"/>
          <w:szCs w:val="18"/>
        </w:rPr>
        <w:t>47</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_Toc1673 </w:instrText>
      </w:r>
      <w:r>
        <w:rPr>
          <w:rFonts w:eastAsia="等线"/>
          <w:spacing w:val="0"/>
          <w:sz w:val="28"/>
          <w:szCs w:val="22"/>
          <w:lang w:val="zh-CN"/>
        </w:rPr>
        <w:fldChar w:fldCharType="separate"/>
      </w:r>
      <w:r>
        <w:rPr>
          <w:rFonts w:eastAsia="楷体_GB2312"/>
          <w:kern w:val="0"/>
          <w:sz w:val="28"/>
          <w:szCs w:val="28"/>
        </w:rPr>
        <w:t>（二）生产工序</w:t>
      </w:r>
      <w:r>
        <w:rPr>
          <w:sz w:val="28"/>
          <w:szCs w:val="18"/>
        </w:rPr>
        <w:tab/>
      </w:r>
      <w:r>
        <w:rPr>
          <w:sz w:val="28"/>
          <w:szCs w:val="18"/>
        </w:rPr>
        <w:fldChar w:fldCharType="begin"/>
      </w:r>
      <w:r>
        <w:rPr>
          <w:sz w:val="28"/>
          <w:szCs w:val="18"/>
        </w:rPr>
        <w:instrText xml:space="preserve"> PAGEREF _Toc1673 \h </w:instrText>
      </w:r>
      <w:r>
        <w:rPr>
          <w:sz w:val="28"/>
          <w:szCs w:val="18"/>
        </w:rPr>
        <w:fldChar w:fldCharType="separate"/>
      </w:r>
      <w:r>
        <w:rPr>
          <w:sz w:val="28"/>
          <w:szCs w:val="18"/>
        </w:rPr>
        <w:t>47</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_Toc6633 </w:instrText>
      </w:r>
      <w:r>
        <w:rPr>
          <w:rFonts w:eastAsia="等线"/>
          <w:spacing w:val="0"/>
          <w:sz w:val="28"/>
          <w:szCs w:val="22"/>
          <w:lang w:val="zh-CN"/>
        </w:rPr>
        <w:fldChar w:fldCharType="separate"/>
      </w:r>
      <w:r>
        <w:rPr>
          <w:rFonts w:eastAsia="楷体_GB2312"/>
          <w:kern w:val="0"/>
          <w:sz w:val="28"/>
          <w:szCs w:val="28"/>
        </w:rPr>
        <w:t>（三）主要污染物产排环节</w:t>
      </w:r>
      <w:r>
        <w:rPr>
          <w:sz w:val="28"/>
          <w:szCs w:val="18"/>
        </w:rPr>
        <w:tab/>
      </w:r>
      <w:r>
        <w:rPr>
          <w:sz w:val="28"/>
          <w:szCs w:val="18"/>
        </w:rPr>
        <w:fldChar w:fldCharType="begin"/>
      </w:r>
      <w:r>
        <w:rPr>
          <w:sz w:val="28"/>
          <w:szCs w:val="18"/>
        </w:rPr>
        <w:instrText xml:space="preserve"> PAGEREF _Toc6633 \h </w:instrText>
      </w:r>
      <w:r>
        <w:rPr>
          <w:sz w:val="28"/>
          <w:szCs w:val="18"/>
        </w:rPr>
        <w:fldChar w:fldCharType="separate"/>
      </w:r>
      <w:r>
        <w:rPr>
          <w:sz w:val="28"/>
          <w:szCs w:val="18"/>
        </w:rPr>
        <w:t>48</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_Toc9933 </w:instrText>
      </w:r>
      <w:r>
        <w:rPr>
          <w:rFonts w:eastAsia="等线"/>
          <w:spacing w:val="0"/>
          <w:sz w:val="28"/>
          <w:szCs w:val="22"/>
          <w:lang w:val="zh-CN"/>
        </w:rPr>
        <w:fldChar w:fldCharType="separate"/>
      </w:r>
      <w:r>
        <w:rPr>
          <w:rFonts w:eastAsia="楷体_GB2312"/>
          <w:kern w:val="0"/>
          <w:sz w:val="28"/>
          <w:szCs w:val="28"/>
        </w:rPr>
        <w:t>（四）绩效分级指标</w:t>
      </w:r>
      <w:r>
        <w:rPr>
          <w:sz w:val="28"/>
          <w:szCs w:val="18"/>
        </w:rPr>
        <w:tab/>
      </w:r>
      <w:r>
        <w:rPr>
          <w:sz w:val="28"/>
          <w:szCs w:val="18"/>
        </w:rPr>
        <w:fldChar w:fldCharType="begin"/>
      </w:r>
      <w:r>
        <w:rPr>
          <w:sz w:val="28"/>
          <w:szCs w:val="18"/>
        </w:rPr>
        <w:instrText xml:space="preserve"> PAGEREF _Toc9933 \h </w:instrText>
      </w:r>
      <w:r>
        <w:rPr>
          <w:sz w:val="28"/>
          <w:szCs w:val="18"/>
        </w:rPr>
        <w:fldChar w:fldCharType="separate"/>
      </w:r>
      <w:r>
        <w:rPr>
          <w:sz w:val="28"/>
          <w:szCs w:val="18"/>
        </w:rPr>
        <w:t>49</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_Toc23815 </w:instrText>
      </w:r>
      <w:r>
        <w:rPr>
          <w:rFonts w:eastAsia="等线"/>
          <w:spacing w:val="0"/>
          <w:sz w:val="28"/>
          <w:szCs w:val="22"/>
          <w:lang w:val="zh-CN"/>
        </w:rPr>
        <w:fldChar w:fldCharType="separate"/>
      </w:r>
      <w:r>
        <w:rPr>
          <w:rFonts w:eastAsia="楷体_GB2312"/>
          <w:kern w:val="0"/>
          <w:sz w:val="28"/>
          <w:szCs w:val="28"/>
        </w:rPr>
        <w:t>（五）减排措施</w:t>
      </w:r>
      <w:r>
        <w:rPr>
          <w:sz w:val="28"/>
          <w:szCs w:val="18"/>
        </w:rPr>
        <w:tab/>
      </w:r>
      <w:r>
        <w:rPr>
          <w:sz w:val="28"/>
          <w:szCs w:val="18"/>
        </w:rPr>
        <w:fldChar w:fldCharType="begin"/>
      </w:r>
      <w:r>
        <w:rPr>
          <w:sz w:val="28"/>
          <w:szCs w:val="18"/>
        </w:rPr>
        <w:instrText xml:space="preserve"> PAGEREF _Toc23815 \h </w:instrText>
      </w:r>
      <w:r>
        <w:rPr>
          <w:sz w:val="28"/>
          <w:szCs w:val="18"/>
        </w:rPr>
        <w:fldChar w:fldCharType="separate"/>
      </w:r>
      <w:r>
        <w:rPr>
          <w:sz w:val="28"/>
          <w:szCs w:val="18"/>
        </w:rPr>
        <w:t>52</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_Toc19930 </w:instrText>
      </w:r>
      <w:r>
        <w:rPr>
          <w:rFonts w:eastAsia="等线"/>
          <w:spacing w:val="0"/>
          <w:sz w:val="28"/>
          <w:szCs w:val="22"/>
          <w:lang w:val="zh-CN"/>
        </w:rPr>
        <w:fldChar w:fldCharType="separate"/>
      </w:r>
      <w:r>
        <w:rPr>
          <w:rFonts w:eastAsia="楷体_GB2312"/>
          <w:kern w:val="0"/>
          <w:sz w:val="28"/>
          <w:szCs w:val="28"/>
        </w:rPr>
        <w:t>（六）核查方法</w:t>
      </w:r>
      <w:r>
        <w:rPr>
          <w:sz w:val="28"/>
          <w:szCs w:val="18"/>
        </w:rPr>
        <w:tab/>
      </w:r>
      <w:r>
        <w:rPr>
          <w:sz w:val="28"/>
          <w:szCs w:val="18"/>
        </w:rPr>
        <w:fldChar w:fldCharType="begin"/>
      </w:r>
      <w:r>
        <w:rPr>
          <w:sz w:val="28"/>
          <w:szCs w:val="18"/>
        </w:rPr>
        <w:instrText xml:space="preserve"> PAGEREF _Toc19930 \h </w:instrText>
      </w:r>
      <w:r>
        <w:rPr>
          <w:sz w:val="28"/>
          <w:szCs w:val="18"/>
        </w:rPr>
        <w:fldChar w:fldCharType="separate"/>
      </w:r>
      <w:r>
        <w:rPr>
          <w:sz w:val="28"/>
          <w:szCs w:val="18"/>
        </w:rPr>
        <w:t>53</w:t>
      </w:r>
      <w:r>
        <w:rPr>
          <w:sz w:val="28"/>
          <w:szCs w:val="18"/>
        </w:rPr>
        <w:fldChar w:fldCharType="end"/>
      </w:r>
      <w:r>
        <w:rPr>
          <w:rFonts w:eastAsia="等线"/>
          <w:spacing w:val="0"/>
          <w:sz w:val="28"/>
          <w:szCs w:val="22"/>
          <w:lang w:val="zh-CN"/>
        </w:rPr>
        <w:fldChar w:fldCharType="end"/>
      </w:r>
    </w:p>
    <w:p>
      <w:pPr>
        <w:pStyle w:val="7"/>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_Toc589 </w:instrText>
      </w:r>
      <w:r>
        <w:rPr>
          <w:rFonts w:eastAsia="等线"/>
          <w:spacing w:val="0"/>
          <w:sz w:val="28"/>
          <w:szCs w:val="22"/>
          <w:lang w:val="zh-CN"/>
        </w:rPr>
        <w:fldChar w:fldCharType="separate"/>
      </w:r>
      <w:r>
        <w:rPr>
          <w:rFonts w:eastAsia="黑体"/>
          <w:kern w:val="0"/>
          <w:sz w:val="28"/>
          <w:szCs w:val="28"/>
        </w:rPr>
        <w:t>九、汽修行业</w:t>
      </w:r>
      <w:r>
        <w:rPr>
          <w:sz w:val="28"/>
          <w:szCs w:val="18"/>
        </w:rPr>
        <w:tab/>
      </w:r>
      <w:r>
        <w:rPr>
          <w:sz w:val="28"/>
          <w:szCs w:val="18"/>
        </w:rPr>
        <w:fldChar w:fldCharType="begin"/>
      </w:r>
      <w:r>
        <w:rPr>
          <w:sz w:val="28"/>
          <w:szCs w:val="18"/>
        </w:rPr>
        <w:instrText xml:space="preserve"> PAGEREF _Toc589 \h </w:instrText>
      </w:r>
      <w:r>
        <w:rPr>
          <w:sz w:val="28"/>
          <w:szCs w:val="18"/>
        </w:rPr>
        <w:fldChar w:fldCharType="separate"/>
      </w:r>
      <w:r>
        <w:rPr>
          <w:sz w:val="28"/>
          <w:szCs w:val="18"/>
        </w:rPr>
        <w:t>53</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_Toc19425 </w:instrText>
      </w:r>
      <w:r>
        <w:rPr>
          <w:rFonts w:eastAsia="等线"/>
          <w:spacing w:val="0"/>
          <w:sz w:val="28"/>
          <w:szCs w:val="22"/>
          <w:lang w:val="zh-CN"/>
        </w:rPr>
        <w:fldChar w:fldCharType="separate"/>
      </w:r>
      <w:r>
        <w:rPr>
          <w:rFonts w:eastAsia="楷体_GB2312"/>
          <w:kern w:val="0"/>
          <w:sz w:val="28"/>
          <w:szCs w:val="28"/>
        </w:rPr>
        <w:t>（一）适用范围</w:t>
      </w:r>
      <w:r>
        <w:rPr>
          <w:sz w:val="28"/>
          <w:szCs w:val="18"/>
        </w:rPr>
        <w:tab/>
      </w:r>
      <w:r>
        <w:rPr>
          <w:sz w:val="28"/>
          <w:szCs w:val="18"/>
        </w:rPr>
        <w:fldChar w:fldCharType="begin"/>
      </w:r>
      <w:r>
        <w:rPr>
          <w:sz w:val="28"/>
          <w:szCs w:val="18"/>
        </w:rPr>
        <w:instrText xml:space="preserve"> PAGEREF _Toc19425 \h </w:instrText>
      </w:r>
      <w:r>
        <w:rPr>
          <w:sz w:val="28"/>
          <w:szCs w:val="18"/>
        </w:rPr>
        <w:fldChar w:fldCharType="separate"/>
      </w:r>
      <w:r>
        <w:rPr>
          <w:sz w:val="28"/>
          <w:szCs w:val="18"/>
        </w:rPr>
        <w:t>53</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_Toc1866 </w:instrText>
      </w:r>
      <w:r>
        <w:rPr>
          <w:rFonts w:eastAsia="等线"/>
          <w:spacing w:val="0"/>
          <w:sz w:val="28"/>
          <w:szCs w:val="22"/>
          <w:lang w:val="zh-CN"/>
        </w:rPr>
        <w:fldChar w:fldCharType="separate"/>
      </w:r>
      <w:r>
        <w:rPr>
          <w:rFonts w:eastAsia="楷体_GB2312"/>
          <w:kern w:val="0"/>
          <w:sz w:val="28"/>
          <w:szCs w:val="28"/>
        </w:rPr>
        <w:t>（二）生产工艺</w:t>
      </w:r>
      <w:r>
        <w:rPr>
          <w:sz w:val="28"/>
          <w:szCs w:val="18"/>
        </w:rPr>
        <w:tab/>
      </w:r>
      <w:r>
        <w:rPr>
          <w:sz w:val="28"/>
          <w:szCs w:val="18"/>
        </w:rPr>
        <w:fldChar w:fldCharType="begin"/>
      </w:r>
      <w:r>
        <w:rPr>
          <w:sz w:val="28"/>
          <w:szCs w:val="18"/>
        </w:rPr>
        <w:instrText xml:space="preserve"> PAGEREF _Toc1866 \h </w:instrText>
      </w:r>
      <w:r>
        <w:rPr>
          <w:sz w:val="28"/>
          <w:szCs w:val="18"/>
        </w:rPr>
        <w:fldChar w:fldCharType="separate"/>
      </w:r>
      <w:r>
        <w:rPr>
          <w:sz w:val="28"/>
          <w:szCs w:val="18"/>
        </w:rPr>
        <w:t>53</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_Toc26065 </w:instrText>
      </w:r>
      <w:r>
        <w:rPr>
          <w:rFonts w:eastAsia="等线"/>
          <w:spacing w:val="0"/>
          <w:sz w:val="28"/>
          <w:szCs w:val="22"/>
          <w:lang w:val="zh-CN"/>
        </w:rPr>
        <w:fldChar w:fldCharType="separate"/>
      </w:r>
      <w:r>
        <w:rPr>
          <w:rFonts w:eastAsia="楷体_GB2312"/>
          <w:kern w:val="0"/>
          <w:sz w:val="28"/>
          <w:szCs w:val="28"/>
        </w:rPr>
        <w:t>（三）主要污染物产排环节</w:t>
      </w:r>
      <w:r>
        <w:rPr>
          <w:sz w:val="28"/>
          <w:szCs w:val="18"/>
        </w:rPr>
        <w:tab/>
      </w:r>
      <w:r>
        <w:rPr>
          <w:sz w:val="28"/>
          <w:szCs w:val="18"/>
        </w:rPr>
        <w:fldChar w:fldCharType="begin"/>
      </w:r>
      <w:r>
        <w:rPr>
          <w:sz w:val="28"/>
          <w:szCs w:val="18"/>
        </w:rPr>
        <w:instrText xml:space="preserve"> PAGEREF _Toc26065 \h </w:instrText>
      </w:r>
      <w:r>
        <w:rPr>
          <w:sz w:val="28"/>
          <w:szCs w:val="18"/>
        </w:rPr>
        <w:fldChar w:fldCharType="separate"/>
      </w:r>
      <w:r>
        <w:rPr>
          <w:sz w:val="28"/>
          <w:szCs w:val="18"/>
        </w:rPr>
        <w:t>54</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_Toc19558 </w:instrText>
      </w:r>
      <w:r>
        <w:rPr>
          <w:rFonts w:eastAsia="等线"/>
          <w:spacing w:val="0"/>
          <w:sz w:val="28"/>
          <w:szCs w:val="22"/>
          <w:lang w:val="zh-CN"/>
        </w:rPr>
        <w:fldChar w:fldCharType="separate"/>
      </w:r>
      <w:r>
        <w:rPr>
          <w:rFonts w:eastAsia="楷体_GB2312"/>
          <w:kern w:val="0"/>
          <w:sz w:val="28"/>
          <w:szCs w:val="28"/>
        </w:rPr>
        <w:t>（四）绩效引领性指标</w:t>
      </w:r>
      <w:r>
        <w:rPr>
          <w:sz w:val="28"/>
          <w:szCs w:val="18"/>
        </w:rPr>
        <w:tab/>
      </w:r>
      <w:r>
        <w:rPr>
          <w:sz w:val="28"/>
          <w:szCs w:val="18"/>
        </w:rPr>
        <w:fldChar w:fldCharType="begin"/>
      </w:r>
      <w:r>
        <w:rPr>
          <w:sz w:val="28"/>
          <w:szCs w:val="18"/>
        </w:rPr>
        <w:instrText xml:space="preserve"> PAGEREF _Toc19558 \h </w:instrText>
      </w:r>
      <w:r>
        <w:rPr>
          <w:sz w:val="28"/>
          <w:szCs w:val="18"/>
        </w:rPr>
        <w:fldChar w:fldCharType="separate"/>
      </w:r>
      <w:r>
        <w:rPr>
          <w:sz w:val="28"/>
          <w:szCs w:val="18"/>
        </w:rPr>
        <w:t>55</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_Toc13533 </w:instrText>
      </w:r>
      <w:r>
        <w:rPr>
          <w:rFonts w:eastAsia="等线"/>
          <w:spacing w:val="0"/>
          <w:sz w:val="28"/>
          <w:szCs w:val="22"/>
          <w:lang w:val="zh-CN"/>
        </w:rPr>
        <w:fldChar w:fldCharType="separate"/>
      </w:r>
      <w:r>
        <w:rPr>
          <w:rFonts w:eastAsia="楷体_GB2312"/>
          <w:kern w:val="0"/>
          <w:sz w:val="28"/>
          <w:szCs w:val="28"/>
        </w:rPr>
        <w:t>（五）减排措施</w:t>
      </w:r>
      <w:r>
        <w:rPr>
          <w:sz w:val="28"/>
          <w:szCs w:val="18"/>
        </w:rPr>
        <w:tab/>
      </w:r>
      <w:r>
        <w:rPr>
          <w:sz w:val="28"/>
          <w:szCs w:val="18"/>
        </w:rPr>
        <w:fldChar w:fldCharType="begin"/>
      </w:r>
      <w:r>
        <w:rPr>
          <w:sz w:val="28"/>
          <w:szCs w:val="18"/>
        </w:rPr>
        <w:instrText xml:space="preserve"> PAGEREF _Toc13533 \h </w:instrText>
      </w:r>
      <w:r>
        <w:rPr>
          <w:sz w:val="28"/>
          <w:szCs w:val="18"/>
        </w:rPr>
        <w:fldChar w:fldCharType="separate"/>
      </w:r>
      <w:r>
        <w:rPr>
          <w:sz w:val="28"/>
          <w:szCs w:val="18"/>
        </w:rPr>
        <w:t>57</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_Toc32456 </w:instrText>
      </w:r>
      <w:r>
        <w:rPr>
          <w:rFonts w:eastAsia="等线"/>
          <w:spacing w:val="0"/>
          <w:sz w:val="28"/>
          <w:szCs w:val="22"/>
          <w:lang w:val="zh-CN"/>
        </w:rPr>
        <w:fldChar w:fldCharType="separate"/>
      </w:r>
      <w:r>
        <w:rPr>
          <w:rFonts w:eastAsia="楷体_GB2312"/>
          <w:kern w:val="0"/>
          <w:sz w:val="28"/>
          <w:szCs w:val="28"/>
        </w:rPr>
        <w:t>（六）核查方法</w:t>
      </w:r>
      <w:r>
        <w:rPr>
          <w:sz w:val="28"/>
          <w:szCs w:val="18"/>
        </w:rPr>
        <w:tab/>
      </w:r>
      <w:r>
        <w:rPr>
          <w:sz w:val="28"/>
          <w:szCs w:val="18"/>
        </w:rPr>
        <w:fldChar w:fldCharType="begin"/>
      </w:r>
      <w:r>
        <w:rPr>
          <w:sz w:val="28"/>
          <w:szCs w:val="18"/>
        </w:rPr>
        <w:instrText xml:space="preserve"> PAGEREF _Toc32456 \h </w:instrText>
      </w:r>
      <w:r>
        <w:rPr>
          <w:sz w:val="28"/>
          <w:szCs w:val="18"/>
        </w:rPr>
        <w:fldChar w:fldCharType="separate"/>
      </w:r>
      <w:r>
        <w:rPr>
          <w:sz w:val="28"/>
          <w:szCs w:val="18"/>
        </w:rPr>
        <w:t>57</w:t>
      </w:r>
      <w:r>
        <w:rPr>
          <w:sz w:val="28"/>
          <w:szCs w:val="18"/>
        </w:rPr>
        <w:fldChar w:fldCharType="end"/>
      </w:r>
      <w:r>
        <w:rPr>
          <w:rFonts w:eastAsia="等线"/>
          <w:spacing w:val="0"/>
          <w:sz w:val="28"/>
          <w:szCs w:val="22"/>
          <w:lang w:val="zh-CN"/>
        </w:rPr>
        <w:fldChar w:fldCharType="end"/>
      </w:r>
    </w:p>
    <w:p>
      <w:pPr>
        <w:pStyle w:val="7"/>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_Toc20294 </w:instrText>
      </w:r>
      <w:r>
        <w:rPr>
          <w:rFonts w:eastAsia="等线"/>
          <w:spacing w:val="0"/>
          <w:sz w:val="28"/>
          <w:szCs w:val="22"/>
          <w:lang w:val="zh-CN"/>
        </w:rPr>
        <w:fldChar w:fldCharType="separate"/>
      </w:r>
      <w:r>
        <w:rPr>
          <w:rFonts w:eastAsia="黑体"/>
          <w:kern w:val="0"/>
          <w:sz w:val="28"/>
          <w:szCs w:val="28"/>
        </w:rPr>
        <w:t>十、通用行业</w:t>
      </w:r>
      <w:r>
        <w:rPr>
          <w:sz w:val="28"/>
          <w:szCs w:val="18"/>
        </w:rPr>
        <w:tab/>
      </w:r>
      <w:r>
        <w:rPr>
          <w:sz w:val="28"/>
          <w:szCs w:val="18"/>
        </w:rPr>
        <w:fldChar w:fldCharType="begin"/>
      </w:r>
      <w:r>
        <w:rPr>
          <w:sz w:val="28"/>
          <w:szCs w:val="18"/>
        </w:rPr>
        <w:instrText xml:space="preserve"> PAGEREF _Toc20294 \h </w:instrText>
      </w:r>
      <w:r>
        <w:rPr>
          <w:sz w:val="28"/>
          <w:szCs w:val="18"/>
        </w:rPr>
        <w:fldChar w:fldCharType="separate"/>
      </w:r>
      <w:r>
        <w:rPr>
          <w:sz w:val="28"/>
          <w:szCs w:val="18"/>
        </w:rPr>
        <w:t>57</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_Toc27262 </w:instrText>
      </w:r>
      <w:r>
        <w:rPr>
          <w:rFonts w:eastAsia="等线"/>
          <w:spacing w:val="0"/>
          <w:sz w:val="28"/>
          <w:szCs w:val="22"/>
          <w:lang w:val="zh-CN"/>
        </w:rPr>
        <w:fldChar w:fldCharType="separate"/>
      </w:r>
      <w:r>
        <w:rPr>
          <w:rFonts w:eastAsia="楷体_GB2312"/>
          <w:kern w:val="0"/>
          <w:sz w:val="28"/>
          <w:szCs w:val="28"/>
        </w:rPr>
        <w:t>（一）适用范围及要求</w:t>
      </w:r>
      <w:r>
        <w:rPr>
          <w:sz w:val="28"/>
          <w:szCs w:val="18"/>
        </w:rPr>
        <w:tab/>
      </w:r>
      <w:r>
        <w:rPr>
          <w:sz w:val="28"/>
          <w:szCs w:val="18"/>
        </w:rPr>
        <w:fldChar w:fldCharType="begin"/>
      </w:r>
      <w:r>
        <w:rPr>
          <w:sz w:val="28"/>
          <w:szCs w:val="18"/>
        </w:rPr>
        <w:instrText xml:space="preserve"> PAGEREF _Toc27262 \h </w:instrText>
      </w:r>
      <w:r>
        <w:rPr>
          <w:sz w:val="28"/>
          <w:szCs w:val="18"/>
        </w:rPr>
        <w:fldChar w:fldCharType="separate"/>
      </w:r>
      <w:r>
        <w:rPr>
          <w:sz w:val="28"/>
          <w:szCs w:val="18"/>
        </w:rPr>
        <w:t>57</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_Toc27759 </w:instrText>
      </w:r>
      <w:r>
        <w:rPr>
          <w:rFonts w:eastAsia="等线"/>
          <w:spacing w:val="0"/>
          <w:sz w:val="28"/>
          <w:szCs w:val="22"/>
          <w:lang w:val="zh-CN"/>
        </w:rPr>
        <w:fldChar w:fldCharType="separate"/>
      </w:r>
      <w:r>
        <w:rPr>
          <w:rFonts w:eastAsia="楷体_GB2312"/>
          <w:kern w:val="0"/>
          <w:sz w:val="28"/>
          <w:szCs w:val="28"/>
        </w:rPr>
        <w:t>（二）绩效分级指标</w:t>
      </w:r>
      <w:r>
        <w:rPr>
          <w:sz w:val="28"/>
          <w:szCs w:val="18"/>
        </w:rPr>
        <w:tab/>
      </w:r>
      <w:r>
        <w:rPr>
          <w:sz w:val="28"/>
          <w:szCs w:val="18"/>
        </w:rPr>
        <w:fldChar w:fldCharType="begin"/>
      </w:r>
      <w:r>
        <w:rPr>
          <w:sz w:val="28"/>
          <w:szCs w:val="18"/>
        </w:rPr>
        <w:instrText xml:space="preserve"> PAGEREF _Toc27759 \h </w:instrText>
      </w:r>
      <w:r>
        <w:rPr>
          <w:sz w:val="28"/>
          <w:szCs w:val="18"/>
        </w:rPr>
        <w:fldChar w:fldCharType="separate"/>
      </w:r>
      <w:r>
        <w:rPr>
          <w:sz w:val="28"/>
          <w:szCs w:val="18"/>
        </w:rPr>
        <w:t>58</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_Toc16068 </w:instrText>
      </w:r>
      <w:r>
        <w:rPr>
          <w:rFonts w:eastAsia="等线"/>
          <w:spacing w:val="0"/>
          <w:sz w:val="28"/>
          <w:szCs w:val="22"/>
          <w:lang w:val="zh-CN"/>
        </w:rPr>
        <w:fldChar w:fldCharType="separate"/>
      </w:r>
      <w:r>
        <w:rPr>
          <w:rFonts w:eastAsia="楷体_GB2312"/>
          <w:kern w:val="0"/>
          <w:sz w:val="28"/>
          <w:szCs w:val="28"/>
        </w:rPr>
        <w:t>（三）减排措施</w:t>
      </w:r>
      <w:r>
        <w:rPr>
          <w:sz w:val="28"/>
          <w:szCs w:val="18"/>
        </w:rPr>
        <w:tab/>
      </w:r>
      <w:r>
        <w:rPr>
          <w:sz w:val="28"/>
          <w:szCs w:val="18"/>
        </w:rPr>
        <w:fldChar w:fldCharType="begin"/>
      </w:r>
      <w:r>
        <w:rPr>
          <w:sz w:val="28"/>
          <w:szCs w:val="18"/>
        </w:rPr>
        <w:instrText xml:space="preserve"> PAGEREF _Toc16068 \h </w:instrText>
      </w:r>
      <w:r>
        <w:rPr>
          <w:sz w:val="28"/>
          <w:szCs w:val="18"/>
        </w:rPr>
        <w:fldChar w:fldCharType="separate"/>
      </w:r>
      <w:r>
        <w:rPr>
          <w:sz w:val="28"/>
          <w:szCs w:val="18"/>
        </w:rPr>
        <w:t>62</w:t>
      </w:r>
      <w:r>
        <w:rPr>
          <w:sz w:val="28"/>
          <w:szCs w:val="18"/>
        </w:rPr>
        <w:fldChar w:fldCharType="end"/>
      </w:r>
      <w:r>
        <w:rPr>
          <w:rFonts w:eastAsia="等线"/>
          <w:spacing w:val="0"/>
          <w:sz w:val="28"/>
          <w:szCs w:val="22"/>
          <w:lang w:val="zh-CN"/>
        </w:rPr>
        <w:fldChar w:fldCharType="end"/>
      </w:r>
    </w:p>
    <w:p>
      <w:pPr>
        <w:pStyle w:val="3"/>
        <w:tabs>
          <w:tab w:val="right" w:leader="dot" w:pos="8848"/>
        </w:tabs>
        <w:rPr>
          <w:sz w:val="28"/>
          <w:szCs w:val="18"/>
        </w:rPr>
      </w:pPr>
      <w:r>
        <w:rPr>
          <w:rFonts w:eastAsia="等线"/>
          <w:spacing w:val="0"/>
          <w:sz w:val="28"/>
          <w:szCs w:val="22"/>
          <w:lang w:val="zh-CN"/>
        </w:rPr>
        <w:fldChar w:fldCharType="begin"/>
      </w:r>
      <w:r>
        <w:rPr>
          <w:rFonts w:eastAsia="等线"/>
          <w:spacing w:val="0"/>
          <w:sz w:val="28"/>
          <w:szCs w:val="22"/>
          <w:lang w:val="zh-CN"/>
        </w:rPr>
        <w:instrText xml:space="preserve"> HYPERLINK \l _Toc1660 </w:instrText>
      </w:r>
      <w:r>
        <w:rPr>
          <w:rFonts w:eastAsia="等线"/>
          <w:spacing w:val="0"/>
          <w:sz w:val="28"/>
          <w:szCs w:val="22"/>
          <w:lang w:val="zh-CN"/>
        </w:rPr>
        <w:fldChar w:fldCharType="separate"/>
      </w:r>
      <w:r>
        <w:rPr>
          <w:rFonts w:eastAsia="楷体_GB2312"/>
          <w:kern w:val="0"/>
          <w:sz w:val="28"/>
          <w:szCs w:val="28"/>
        </w:rPr>
        <w:t>（四）核查方法</w:t>
      </w:r>
      <w:r>
        <w:rPr>
          <w:sz w:val="28"/>
          <w:szCs w:val="18"/>
        </w:rPr>
        <w:tab/>
      </w:r>
      <w:r>
        <w:rPr>
          <w:sz w:val="28"/>
          <w:szCs w:val="18"/>
        </w:rPr>
        <w:fldChar w:fldCharType="begin"/>
      </w:r>
      <w:r>
        <w:rPr>
          <w:sz w:val="28"/>
          <w:szCs w:val="18"/>
        </w:rPr>
        <w:instrText xml:space="preserve"> PAGEREF _Toc1660 \h </w:instrText>
      </w:r>
      <w:r>
        <w:rPr>
          <w:sz w:val="28"/>
          <w:szCs w:val="18"/>
        </w:rPr>
        <w:fldChar w:fldCharType="separate"/>
      </w:r>
      <w:r>
        <w:rPr>
          <w:sz w:val="28"/>
          <w:szCs w:val="18"/>
        </w:rPr>
        <w:t>63</w:t>
      </w:r>
      <w:r>
        <w:rPr>
          <w:sz w:val="28"/>
          <w:szCs w:val="18"/>
        </w:rPr>
        <w:fldChar w:fldCharType="end"/>
      </w:r>
      <w:r>
        <w:rPr>
          <w:rFonts w:eastAsia="等线"/>
          <w:spacing w:val="0"/>
          <w:sz w:val="28"/>
          <w:szCs w:val="22"/>
          <w:lang w:val="zh-CN"/>
        </w:rPr>
        <w:fldChar w:fldCharType="end"/>
      </w:r>
    </w:p>
    <w:p>
      <w:pPr>
        <w:overflowPunct w:val="0"/>
        <w:topLinePunct/>
        <w:spacing w:line="340" w:lineRule="exact"/>
        <w:rPr>
          <w:rFonts w:eastAsia="等线"/>
          <w:spacing w:val="0"/>
          <w:sz w:val="24"/>
          <w:szCs w:val="24"/>
        </w:rPr>
      </w:pPr>
      <w:r>
        <w:rPr>
          <w:rFonts w:eastAsia="等线"/>
          <w:spacing w:val="0"/>
          <w:sz w:val="22"/>
          <w:szCs w:val="22"/>
          <w:lang w:val="zh-CN"/>
        </w:rPr>
        <w:fldChar w:fldCharType="end"/>
      </w:r>
    </w:p>
    <w:p>
      <w:pPr>
        <w:overflowPunct w:val="0"/>
        <w:topLinePunct/>
        <w:spacing w:line="600" w:lineRule="exact"/>
        <w:ind w:firstLine="576" w:firstLineChars="200"/>
        <w:outlineLvl w:val="1"/>
        <w:rPr>
          <w:rFonts w:eastAsia="黑体"/>
          <w:kern w:val="0"/>
          <w:sz w:val="30"/>
          <w:szCs w:val="30"/>
        </w:rPr>
      </w:pPr>
      <w:r>
        <w:rPr>
          <w:rFonts w:eastAsia="黑体"/>
          <w:kern w:val="0"/>
          <w:sz w:val="30"/>
          <w:szCs w:val="30"/>
        </w:rPr>
        <w:br w:type="page"/>
      </w:r>
      <w:bookmarkStart w:id="0" w:name="_Toc30205"/>
      <w:bookmarkStart w:id="1" w:name="_Toc121413319"/>
      <w:r>
        <w:rPr>
          <w:rFonts w:eastAsia="黑体"/>
          <w:kern w:val="0"/>
          <w:sz w:val="30"/>
          <w:szCs w:val="30"/>
        </w:rPr>
        <w:t>一、金属表面处理及热处理加工</w:t>
      </w:r>
      <w:bookmarkEnd w:id="0"/>
      <w:bookmarkEnd w:id="1"/>
    </w:p>
    <w:p>
      <w:pPr>
        <w:overflowPunct w:val="0"/>
        <w:topLinePunct/>
        <w:spacing w:line="600" w:lineRule="exact"/>
        <w:ind w:firstLine="576" w:firstLineChars="200"/>
        <w:outlineLvl w:val="2"/>
        <w:rPr>
          <w:rFonts w:eastAsia="楷体_GB2312"/>
          <w:kern w:val="0"/>
          <w:sz w:val="30"/>
          <w:szCs w:val="30"/>
        </w:rPr>
      </w:pPr>
      <w:bookmarkStart w:id="2" w:name="_Toc121413320"/>
      <w:bookmarkStart w:id="3" w:name="_Toc9001"/>
      <w:r>
        <w:rPr>
          <w:rFonts w:eastAsia="楷体_GB2312"/>
          <w:kern w:val="0"/>
          <w:sz w:val="30"/>
          <w:szCs w:val="30"/>
        </w:rPr>
        <w:t>（一）适用范围</w:t>
      </w:r>
      <w:bookmarkEnd w:id="2"/>
      <w:bookmarkEnd w:id="3"/>
    </w:p>
    <w:p>
      <w:pPr>
        <w:overflowPunct w:val="0"/>
        <w:topLinePunct/>
        <w:spacing w:line="600" w:lineRule="exact"/>
        <w:ind w:firstLine="576" w:firstLineChars="200"/>
        <w:rPr>
          <w:sz w:val="28"/>
          <w:szCs w:val="28"/>
        </w:rPr>
      </w:pPr>
      <w:r>
        <w:rPr>
          <w:sz w:val="30"/>
          <w:szCs w:val="30"/>
        </w:rPr>
        <w:t>适用于《国民经济行业分类》（GB/T4754-2017）中的C336金属表面处理及热处理加工</w:t>
      </w:r>
      <w:r>
        <w:rPr>
          <w:rFonts w:hint="eastAsia"/>
          <w:sz w:val="30"/>
          <w:szCs w:val="30"/>
        </w:rPr>
        <w:t>业</w:t>
      </w:r>
      <w:r>
        <w:rPr>
          <w:sz w:val="30"/>
          <w:szCs w:val="30"/>
        </w:rPr>
        <w:t>，</w:t>
      </w:r>
      <w:r>
        <w:rPr>
          <w:rFonts w:hint="eastAsia"/>
          <w:sz w:val="30"/>
          <w:szCs w:val="30"/>
        </w:rPr>
        <w:t>包括</w:t>
      </w:r>
      <w:r>
        <w:rPr>
          <w:sz w:val="30"/>
          <w:szCs w:val="30"/>
        </w:rPr>
        <w:t>对金属物件表面进行的电镀、镀层、热处理等专业作业加工的企业或生产工序。涉及涂装工序的企业，应同时参照《重污染天气重点行业应急减排措施制定技术指南（2020年修订版）》另行制定的相应行业方案。</w:t>
      </w:r>
    </w:p>
    <w:p>
      <w:pPr>
        <w:overflowPunct w:val="0"/>
        <w:topLinePunct/>
        <w:spacing w:line="600" w:lineRule="exact"/>
        <w:ind w:firstLine="576" w:firstLineChars="200"/>
        <w:outlineLvl w:val="2"/>
        <w:rPr>
          <w:rFonts w:eastAsia="楷体_GB2312"/>
          <w:kern w:val="0"/>
          <w:sz w:val="30"/>
          <w:szCs w:val="30"/>
        </w:rPr>
      </w:pPr>
      <w:bookmarkStart w:id="4" w:name="_Toc121413321"/>
      <w:bookmarkStart w:id="5" w:name="_Toc10992"/>
      <w:r>
        <w:rPr>
          <w:rFonts w:eastAsia="楷体_GB2312"/>
          <w:kern w:val="0"/>
          <w:sz w:val="30"/>
          <w:szCs w:val="30"/>
        </w:rPr>
        <w:t>（二）生产工艺</w:t>
      </w:r>
      <w:bookmarkEnd w:id="4"/>
      <w:bookmarkEnd w:id="5"/>
    </w:p>
    <w:p>
      <w:pPr>
        <w:overflowPunct w:val="0"/>
        <w:topLinePunct/>
        <w:spacing w:line="600" w:lineRule="exact"/>
        <w:ind w:firstLine="576" w:firstLineChars="200"/>
        <w:rPr>
          <w:sz w:val="30"/>
          <w:szCs w:val="30"/>
        </w:rPr>
      </w:pPr>
      <w:r>
        <w:rPr>
          <w:sz w:val="30"/>
          <w:szCs w:val="30"/>
        </w:rPr>
        <w:t>1、金属表面处理工艺流程：主要包括电镀、电铸、刷镀、化学镀、热浸镀以及金属酸洗、化学抛光、氧化、磷化、钝化、水洗、干燥、助镀、成品入库等。</w:t>
      </w:r>
    </w:p>
    <w:p>
      <w:pPr>
        <w:overflowPunct w:val="0"/>
        <w:topLinePunct/>
        <w:spacing w:line="600" w:lineRule="exact"/>
        <w:ind w:firstLine="576" w:firstLineChars="200"/>
        <w:rPr>
          <w:sz w:val="30"/>
          <w:szCs w:val="30"/>
        </w:rPr>
      </w:pPr>
      <w:r>
        <w:rPr>
          <w:sz w:val="30"/>
          <w:szCs w:val="30"/>
        </w:rPr>
        <w:t>2、金属热处理工艺：主要分为退火、正火、淬火、回火、碳氮共渗、氮化、稳定化、冷处理等工艺。主要包括加热、保温、冷却三个过程。</w:t>
      </w:r>
    </w:p>
    <w:p>
      <w:pPr>
        <w:overflowPunct w:val="0"/>
        <w:topLinePunct/>
        <w:spacing w:line="600" w:lineRule="exact"/>
        <w:ind w:firstLine="576" w:firstLineChars="200"/>
        <w:rPr>
          <w:sz w:val="30"/>
          <w:szCs w:val="30"/>
        </w:rPr>
      </w:pPr>
      <w:r>
        <w:rPr>
          <w:sz w:val="30"/>
          <w:szCs w:val="30"/>
        </w:rPr>
        <w:t>3、主要原辅材料：锌锭、氧化银、银板、焦磷酸铜、硫酸、氢氧化钠、盐酸、氯化铵、钝化液及水、油或其他无机盐溶液、有机水溶液等。</w:t>
      </w:r>
    </w:p>
    <w:p>
      <w:pPr>
        <w:overflowPunct w:val="0"/>
        <w:topLinePunct/>
        <w:spacing w:line="600" w:lineRule="exact"/>
        <w:ind w:firstLine="576" w:firstLineChars="200"/>
        <w:rPr>
          <w:sz w:val="30"/>
          <w:szCs w:val="30"/>
        </w:rPr>
      </w:pPr>
      <w:r>
        <w:rPr>
          <w:sz w:val="30"/>
          <w:szCs w:val="30"/>
        </w:rPr>
        <w:t>4、主要燃料/能源：天然气、煤制气、电、液化石油气、煤。</w:t>
      </w:r>
    </w:p>
    <w:p>
      <w:pPr>
        <w:overflowPunct w:val="0"/>
        <w:topLinePunct/>
        <w:spacing w:line="600" w:lineRule="exact"/>
        <w:ind w:firstLine="576" w:firstLineChars="200"/>
        <w:outlineLvl w:val="2"/>
        <w:rPr>
          <w:rFonts w:eastAsia="楷体_GB2312"/>
          <w:kern w:val="0"/>
          <w:sz w:val="30"/>
          <w:szCs w:val="30"/>
        </w:rPr>
      </w:pPr>
      <w:bookmarkStart w:id="6" w:name="_Toc15591"/>
      <w:bookmarkStart w:id="7" w:name="_Toc121413322"/>
      <w:r>
        <w:rPr>
          <w:rFonts w:eastAsia="楷体_GB2312"/>
          <w:kern w:val="0"/>
          <w:sz w:val="30"/>
          <w:szCs w:val="30"/>
        </w:rPr>
        <w:t>（三）主要污染物产排环节</w:t>
      </w:r>
      <w:bookmarkEnd w:id="6"/>
      <w:bookmarkEnd w:id="7"/>
    </w:p>
    <w:p>
      <w:pPr>
        <w:overflowPunct w:val="0"/>
        <w:topLinePunct/>
        <w:spacing w:line="600" w:lineRule="exact"/>
        <w:ind w:firstLine="576" w:firstLineChars="200"/>
        <w:rPr>
          <w:sz w:val="30"/>
          <w:szCs w:val="30"/>
        </w:rPr>
      </w:pPr>
      <w:r>
        <w:rPr>
          <w:sz w:val="30"/>
          <w:szCs w:val="30"/>
        </w:rPr>
        <w:t>颗粒物（PM）、</w:t>
      </w:r>
      <w:r>
        <w:rPr>
          <w:rFonts w:hint="eastAsia"/>
          <w:sz w:val="30"/>
          <w:szCs w:val="30"/>
        </w:rPr>
        <w:t>氮氧化物</w:t>
      </w:r>
      <w:r>
        <w:rPr>
          <w:sz w:val="30"/>
          <w:szCs w:val="30"/>
        </w:rPr>
        <w:t>（</w:t>
      </w:r>
      <w:r>
        <w:rPr>
          <w:rFonts w:hint="eastAsia"/>
          <w:sz w:val="30"/>
          <w:szCs w:val="30"/>
        </w:rPr>
        <w:t>NO</w:t>
      </w:r>
      <w:r>
        <w:rPr>
          <w:rFonts w:cs="Times New Roman Bold Italic"/>
          <w:i/>
          <w:iCs/>
          <w:sz w:val="30"/>
          <w:szCs w:val="30"/>
          <w:vertAlign w:val="subscript"/>
        </w:rPr>
        <w:t>x</w:t>
      </w:r>
      <w:r>
        <w:rPr>
          <w:sz w:val="30"/>
          <w:szCs w:val="30"/>
        </w:rPr>
        <w:t>）：主要来自</w:t>
      </w:r>
      <w:r>
        <w:rPr>
          <w:rFonts w:hint="eastAsia"/>
          <w:sz w:val="30"/>
          <w:szCs w:val="30"/>
        </w:rPr>
        <w:t>热处理炉和锅炉燃料燃烧</w:t>
      </w:r>
      <w:r>
        <w:rPr>
          <w:sz w:val="30"/>
          <w:szCs w:val="30"/>
        </w:rPr>
        <w:t>。</w:t>
      </w:r>
    </w:p>
    <w:p>
      <w:pPr>
        <w:overflowPunct w:val="0"/>
        <w:topLinePunct/>
        <w:spacing w:line="600" w:lineRule="exact"/>
        <w:ind w:firstLine="576" w:firstLineChars="200"/>
        <w:rPr>
          <w:sz w:val="30"/>
          <w:szCs w:val="30"/>
        </w:rPr>
      </w:pPr>
      <w:r>
        <w:rPr>
          <w:sz w:val="30"/>
          <w:szCs w:val="30"/>
        </w:rPr>
        <w:t>二氧化硫（SO</w:t>
      </w:r>
      <w:r>
        <w:rPr>
          <w:sz w:val="30"/>
          <w:szCs w:val="30"/>
          <w:vertAlign w:val="subscript"/>
        </w:rPr>
        <w:t>2</w:t>
      </w:r>
      <w:r>
        <w:rPr>
          <w:sz w:val="30"/>
          <w:szCs w:val="30"/>
        </w:rPr>
        <w:t>）：主要来</w:t>
      </w:r>
      <w:r>
        <w:rPr>
          <w:rFonts w:hint="eastAsia"/>
          <w:sz w:val="30"/>
          <w:szCs w:val="30"/>
        </w:rPr>
        <w:t>自酸洗、化学抛光等工序</w:t>
      </w:r>
      <w:r>
        <w:rPr>
          <w:rFonts w:hint="eastAsia"/>
          <w:sz w:val="30"/>
          <w:szCs w:val="30"/>
          <w:lang w:val="en-US" w:eastAsia="zh-CN"/>
        </w:rPr>
        <w:t>，</w:t>
      </w:r>
      <w:r>
        <w:rPr>
          <w:rFonts w:hint="eastAsia"/>
          <w:sz w:val="30"/>
          <w:szCs w:val="30"/>
        </w:rPr>
        <w:t>及热处理炉</w:t>
      </w:r>
      <w:r>
        <w:rPr>
          <w:sz w:val="30"/>
          <w:szCs w:val="30"/>
        </w:rPr>
        <w:t>、锅炉燃料燃烧。</w:t>
      </w:r>
    </w:p>
    <w:p>
      <w:pPr>
        <w:overflowPunct w:val="0"/>
        <w:topLinePunct/>
        <w:spacing w:line="600" w:lineRule="exact"/>
        <w:ind w:firstLine="576" w:firstLineChars="200"/>
        <w:rPr>
          <w:sz w:val="30"/>
          <w:szCs w:val="30"/>
        </w:rPr>
      </w:pPr>
      <w:r>
        <w:rPr>
          <w:rFonts w:hint="eastAsia"/>
          <w:sz w:val="30"/>
          <w:szCs w:val="30"/>
        </w:rPr>
        <w:t>挥发性有机物</w:t>
      </w:r>
      <w:r>
        <w:rPr>
          <w:sz w:val="30"/>
          <w:szCs w:val="30"/>
        </w:rPr>
        <w:t>（</w:t>
      </w:r>
      <w:r>
        <w:rPr>
          <w:rFonts w:hint="eastAsia"/>
          <w:sz w:val="30"/>
          <w:szCs w:val="30"/>
        </w:rPr>
        <w:t>VOCs</w:t>
      </w:r>
      <w:r>
        <w:rPr>
          <w:sz w:val="30"/>
          <w:szCs w:val="30"/>
        </w:rPr>
        <w:t>）：</w:t>
      </w:r>
      <w:r>
        <w:rPr>
          <w:rFonts w:hint="eastAsia"/>
          <w:sz w:val="30"/>
          <w:szCs w:val="30"/>
        </w:rPr>
        <w:t>主要来自热处理工序的油雾废气</w:t>
      </w:r>
      <w:r>
        <w:rPr>
          <w:sz w:val="30"/>
          <w:szCs w:val="30"/>
        </w:rPr>
        <w:t>。</w:t>
      </w:r>
    </w:p>
    <w:p>
      <w:pPr>
        <w:overflowPunct w:val="0"/>
        <w:topLinePunct/>
        <w:spacing w:line="600" w:lineRule="exact"/>
        <w:ind w:firstLine="576" w:firstLineChars="200"/>
        <w:rPr>
          <w:sz w:val="30"/>
          <w:szCs w:val="30"/>
          <w:highlight w:val="none"/>
        </w:rPr>
      </w:pPr>
      <w:r>
        <w:rPr>
          <w:rFonts w:hint="eastAsia"/>
          <w:sz w:val="30"/>
          <w:szCs w:val="30"/>
          <w:lang w:eastAsia="zh-CN"/>
        </w:rPr>
        <w:t>酸性废气（</w:t>
      </w:r>
      <w:r>
        <w:rPr>
          <w:rFonts w:hint="eastAsia"/>
          <w:sz w:val="30"/>
          <w:szCs w:val="30"/>
        </w:rPr>
        <w:t>氯化氢、氟化</w:t>
      </w:r>
      <w:r>
        <w:rPr>
          <w:rFonts w:hint="eastAsia"/>
          <w:sz w:val="30"/>
          <w:szCs w:val="30"/>
          <w:lang w:eastAsia="zh-CN"/>
        </w:rPr>
        <w:t>物</w:t>
      </w:r>
      <w:r>
        <w:rPr>
          <w:rFonts w:hint="eastAsia"/>
          <w:sz w:val="30"/>
          <w:szCs w:val="30"/>
        </w:rPr>
        <w:t>、</w:t>
      </w:r>
      <w:r>
        <w:rPr>
          <w:rFonts w:hint="eastAsia"/>
          <w:sz w:val="30"/>
          <w:szCs w:val="30"/>
          <w:highlight w:val="none"/>
        </w:rPr>
        <w:t>硫化氢、磷酸和酸雾</w:t>
      </w:r>
      <w:r>
        <w:rPr>
          <w:rFonts w:hint="eastAsia"/>
          <w:sz w:val="30"/>
          <w:szCs w:val="30"/>
          <w:highlight w:val="none"/>
          <w:lang w:eastAsia="zh-CN"/>
        </w:rPr>
        <w:t>）</w:t>
      </w:r>
      <w:r>
        <w:rPr>
          <w:sz w:val="30"/>
          <w:szCs w:val="30"/>
          <w:highlight w:val="none"/>
        </w:rPr>
        <w:t>：</w:t>
      </w:r>
      <w:r>
        <w:rPr>
          <w:rFonts w:hint="eastAsia"/>
          <w:sz w:val="30"/>
          <w:szCs w:val="30"/>
          <w:highlight w:val="none"/>
        </w:rPr>
        <w:t>主要来自酸洗、化学抛光等工序</w:t>
      </w:r>
      <w:r>
        <w:rPr>
          <w:rFonts w:hint="eastAsia"/>
          <w:sz w:val="30"/>
          <w:szCs w:val="30"/>
          <w:highlight w:val="none"/>
          <w:lang w:eastAsia="zh-CN"/>
        </w:rPr>
        <w:t>；</w:t>
      </w:r>
      <w:r>
        <w:rPr>
          <w:sz w:val="30"/>
          <w:szCs w:val="30"/>
          <w:highlight w:val="none"/>
        </w:rPr>
        <w:t>铬酸雾</w:t>
      </w:r>
      <w:r>
        <w:rPr>
          <w:rFonts w:hint="eastAsia"/>
          <w:sz w:val="30"/>
          <w:szCs w:val="30"/>
          <w:highlight w:val="none"/>
        </w:rPr>
        <w:t>主要来自镀铬工艺</w:t>
      </w:r>
      <w:r>
        <w:rPr>
          <w:sz w:val="30"/>
          <w:szCs w:val="30"/>
          <w:highlight w:val="none"/>
        </w:rPr>
        <w:t>。</w:t>
      </w:r>
    </w:p>
    <w:p>
      <w:pPr>
        <w:overflowPunct w:val="0"/>
        <w:topLinePunct/>
        <w:spacing w:line="600" w:lineRule="exact"/>
        <w:ind w:firstLine="576" w:firstLineChars="200"/>
        <w:rPr>
          <w:sz w:val="30"/>
          <w:szCs w:val="30"/>
          <w:highlight w:val="yellow"/>
        </w:rPr>
      </w:pPr>
      <w:r>
        <w:rPr>
          <w:rFonts w:hint="eastAsia"/>
          <w:sz w:val="30"/>
          <w:szCs w:val="30"/>
          <w:highlight w:val="none"/>
          <w:lang w:eastAsia="zh-CN"/>
        </w:rPr>
        <w:t>碱性废气（</w:t>
      </w:r>
      <w:r>
        <w:rPr>
          <w:sz w:val="30"/>
          <w:szCs w:val="30"/>
          <w:highlight w:val="none"/>
        </w:rPr>
        <w:t>氢氧化钠、碳酸钠及磷酸钠等碱性物质</w:t>
      </w:r>
      <w:r>
        <w:rPr>
          <w:rFonts w:hint="eastAsia"/>
          <w:sz w:val="30"/>
          <w:szCs w:val="30"/>
          <w:highlight w:val="none"/>
          <w:lang w:eastAsia="zh-CN"/>
        </w:rPr>
        <w:t>）</w:t>
      </w:r>
      <w:r>
        <w:rPr>
          <w:sz w:val="30"/>
          <w:szCs w:val="30"/>
        </w:rPr>
        <w:t>：</w:t>
      </w:r>
      <w:r>
        <w:rPr>
          <w:rFonts w:hint="eastAsia"/>
          <w:sz w:val="30"/>
          <w:szCs w:val="30"/>
        </w:rPr>
        <w:t>主要来自化学</w:t>
      </w:r>
      <w:r>
        <w:rPr>
          <w:rFonts w:hint="eastAsia"/>
          <w:sz w:val="30"/>
          <w:szCs w:val="30"/>
          <w:lang w:eastAsia="zh-CN"/>
        </w:rPr>
        <w:t>镀</w:t>
      </w:r>
      <w:r>
        <w:rPr>
          <w:rFonts w:hint="eastAsia"/>
          <w:sz w:val="30"/>
          <w:szCs w:val="30"/>
        </w:rPr>
        <w:t>、电化学除油，碱性和氰化电镀等工序</w:t>
      </w:r>
      <w:r>
        <w:rPr>
          <w:sz w:val="30"/>
          <w:szCs w:val="30"/>
        </w:rPr>
        <w:t>。</w:t>
      </w:r>
    </w:p>
    <w:p>
      <w:pPr>
        <w:overflowPunct w:val="0"/>
        <w:topLinePunct/>
        <w:spacing w:line="600" w:lineRule="exact"/>
        <w:ind w:firstLine="576" w:firstLineChars="200"/>
        <w:rPr>
          <w:rFonts w:eastAsia="宋体"/>
          <w:sz w:val="21"/>
          <w:szCs w:val="22"/>
        </w:rPr>
      </w:pPr>
      <w:r>
        <w:rPr>
          <w:sz w:val="30"/>
          <w:szCs w:val="30"/>
        </w:rPr>
        <w:t>氰化氢：</w:t>
      </w:r>
      <w:r>
        <w:rPr>
          <w:rFonts w:hint="eastAsia"/>
          <w:sz w:val="30"/>
          <w:szCs w:val="30"/>
        </w:rPr>
        <w:t>主要来自氰化镀铜、镀锌、铜锡合金及仿金等工序。</w:t>
      </w:r>
    </w:p>
    <w:p/>
    <w:p>
      <w:pPr>
        <w:sectPr>
          <w:footerReference r:id="rId5" w:type="default"/>
          <w:footerReference r:id="rId6" w:type="even"/>
          <w:pgSz w:w="11910" w:h="16840"/>
          <w:pgMar w:top="2098" w:right="1474" w:bottom="1247" w:left="1588" w:header="851" w:footer="992" w:gutter="0"/>
          <w:cols w:space="720" w:num="1"/>
          <w:titlePg/>
        </w:sectPr>
      </w:pPr>
    </w:p>
    <w:p>
      <w:pPr>
        <w:overflowPunct w:val="0"/>
        <w:topLinePunct/>
        <w:spacing w:line="500" w:lineRule="exact"/>
        <w:jc w:val="left"/>
        <w:outlineLvl w:val="2"/>
        <w:rPr>
          <w:rFonts w:eastAsia="楷体_GB2312"/>
          <w:kern w:val="0"/>
          <w:sz w:val="30"/>
          <w:szCs w:val="30"/>
        </w:rPr>
      </w:pPr>
      <w:bookmarkStart w:id="8" w:name="_Toc121413323"/>
      <w:bookmarkStart w:id="9" w:name="_Toc17805"/>
      <w:r>
        <w:rPr>
          <w:rFonts w:eastAsia="楷体_GB2312"/>
          <w:kern w:val="0"/>
          <w:sz w:val="30"/>
          <w:szCs w:val="30"/>
        </w:rPr>
        <w:t>（四）绩效分级指标</w:t>
      </w:r>
      <w:bookmarkEnd w:id="8"/>
      <w:bookmarkEnd w:id="9"/>
    </w:p>
    <w:p>
      <w:pPr>
        <w:overflowPunct w:val="0"/>
        <w:topLinePunct/>
        <w:jc w:val="center"/>
        <w:rPr>
          <w:rFonts w:eastAsia="黑体"/>
          <w:kern w:val="0"/>
          <w:sz w:val="22"/>
          <w:szCs w:val="22"/>
        </w:rPr>
      </w:pPr>
      <w:r>
        <w:rPr>
          <w:rFonts w:eastAsia="黑体"/>
          <w:kern w:val="0"/>
          <w:sz w:val="24"/>
          <w:szCs w:val="24"/>
        </w:rPr>
        <w:t>表1-</w:t>
      </w:r>
      <w:r>
        <w:rPr>
          <w:rFonts w:hint="eastAsia" w:eastAsia="黑体"/>
          <w:kern w:val="0"/>
          <w:sz w:val="24"/>
          <w:szCs w:val="24"/>
          <w:lang w:val="en-US" w:eastAsia="zh-CN"/>
        </w:rPr>
        <w:t>1</w:t>
      </w:r>
      <w:r>
        <w:rPr>
          <w:rFonts w:eastAsia="黑体"/>
          <w:kern w:val="0"/>
          <w:sz w:val="24"/>
          <w:szCs w:val="24"/>
        </w:rPr>
        <w:t xml:space="preserve">  金属表面处理及热处理加工绩效分级指标</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40"/>
        <w:gridCol w:w="4926"/>
        <w:gridCol w:w="201"/>
        <w:gridCol w:w="5397"/>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blHeader/>
        </w:trPr>
        <w:tc>
          <w:tcPr>
            <w:tcW w:w="421"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hint="default" w:eastAsia="黑体"/>
                <w:kern w:val="0"/>
                <w:sz w:val="21"/>
                <w:szCs w:val="21"/>
              </w:rPr>
            </w:pPr>
            <w:r>
              <w:rPr>
                <w:rFonts w:hint="default" w:eastAsia="黑体"/>
                <w:kern w:val="0"/>
                <w:sz w:val="21"/>
                <w:szCs w:val="21"/>
              </w:rPr>
              <w:t>差异化指标</w:t>
            </w:r>
          </w:p>
        </w:tc>
        <w:tc>
          <w:tcPr>
            <w:tcW w:w="1817"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hint="default" w:eastAsia="黑体"/>
                <w:kern w:val="0"/>
                <w:sz w:val="21"/>
                <w:szCs w:val="21"/>
              </w:rPr>
            </w:pPr>
            <w:r>
              <w:rPr>
                <w:rFonts w:hint="default" w:eastAsia="黑体"/>
                <w:kern w:val="0"/>
                <w:sz w:val="21"/>
                <w:szCs w:val="21"/>
              </w:rPr>
              <w:t>A级企业</w:t>
            </w:r>
          </w:p>
        </w:tc>
        <w:tc>
          <w:tcPr>
            <w:tcW w:w="2064" w:type="pct"/>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hint="default" w:eastAsia="黑体"/>
                <w:kern w:val="0"/>
                <w:sz w:val="21"/>
                <w:szCs w:val="21"/>
              </w:rPr>
            </w:pPr>
            <w:r>
              <w:rPr>
                <w:rFonts w:hint="default" w:eastAsia="黑体"/>
                <w:kern w:val="0"/>
                <w:sz w:val="21"/>
                <w:szCs w:val="21"/>
              </w:rPr>
              <w:t>B级企业</w:t>
            </w:r>
          </w:p>
        </w:tc>
        <w:tc>
          <w:tcPr>
            <w:tcW w:w="696"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hint="default" w:eastAsia="黑体"/>
                <w:kern w:val="0"/>
                <w:sz w:val="21"/>
                <w:szCs w:val="21"/>
              </w:rPr>
            </w:pPr>
            <w:r>
              <w:rPr>
                <w:rFonts w:hint="default" w:eastAsia="黑体"/>
                <w:kern w:val="0"/>
                <w:sz w:val="21"/>
                <w:szCs w:val="21"/>
              </w:rPr>
              <w:t>C级企业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21"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能源类型</w:t>
            </w:r>
          </w:p>
        </w:tc>
        <w:tc>
          <w:tcPr>
            <w:tcW w:w="3882" w:type="pct"/>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热处理加工采用电、天然气或其他清洁能源。</w:t>
            </w:r>
          </w:p>
        </w:tc>
        <w:tc>
          <w:tcPr>
            <w:tcW w:w="696"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21"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工艺过程</w:t>
            </w:r>
          </w:p>
        </w:tc>
        <w:tc>
          <w:tcPr>
            <w:tcW w:w="3882" w:type="pct"/>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spacing w:val="0"/>
                <w:sz w:val="20"/>
              </w:rPr>
            </w:pPr>
            <w:r>
              <w:rPr>
                <w:rFonts w:hint="eastAsia"/>
                <w:spacing w:val="0"/>
                <w:sz w:val="20"/>
              </w:rPr>
              <w:t>电镀、电铸等金属表面处理及热处理采用自动化设备。</w:t>
            </w:r>
          </w:p>
        </w:tc>
        <w:tc>
          <w:tcPr>
            <w:tcW w:w="696"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21"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污染收集及治理技术</w:t>
            </w:r>
          </w:p>
        </w:tc>
        <w:tc>
          <w:tcPr>
            <w:tcW w:w="1817"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金属表面处理：</w:t>
            </w:r>
          </w:p>
          <w:p>
            <w:pPr>
              <w:overflowPunct w:val="0"/>
              <w:topLinePunct/>
              <w:spacing w:line="320" w:lineRule="exact"/>
              <w:rPr>
                <w:kern w:val="0"/>
                <w:sz w:val="20"/>
              </w:rPr>
            </w:pPr>
            <w:r>
              <w:rPr>
                <w:rFonts w:hint="eastAsia"/>
                <w:kern w:val="0"/>
                <w:sz w:val="20"/>
              </w:rPr>
              <w:t>1、酸碱废气采用两级及以上喷淋吸收处理工艺，采用pH计控制，实现自动加药，药液液位自动控制。</w:t>
            </w:r>
          </w:p>
          <w:p>
            <w:pPr>
              <w:overflowPunct w:val="0"/>
              <w:topLinePunct/>
              <w:spacing w:line="320" w:lineRule="exact"/>
              <w:rPr>
                <w:spacing w:val="0"/>
                <w:sz w:val="20"/>
              </w:rPr>
            </w:pPr>
            <w:r>
              <w:rPr>
                <w:rFonts w:hint="eastAsia"/>
                <w:spacing w:val="0"/>
                <w:sz w:val="20"/>
                <w:lang w:val="en-US" w:eastAsia="zh-CN"/>
              </w:rPr>
              <w:t>2</w:t>
            </w:r>
            <w:r>
              <w:rPr>
                <w:rFonts w:hint="eastAsia"/>
                <w:spacing w:val="0"/>
                <w:sz w:val="20"/>
              </w:rPr>
              <w:t>、油雾废气采用油雾多级回收+VOCs治理技术；VOCs废气采用活性炭吸附（</w:t>
            </w:r>
            <w:r>
              <w:rPr>
                <w:rFonts w:hint="eastAsia"/>
                <w:b w:val="0"/>
                <w:bCs w:val="0"/>
                <w:sz w:val="20"/>
                <w:szCs w:val="20"/>
                <w:lang w:val="en-US" w:eastAsia="zh-CN"/>
              </w:rPr>
              <w:t>采用颗粒状活性炭要求碘值不低于800 mg/g，采用蜂窝状活性炭要求碘值不低于650 mg/g，且预处理单元应配备温湿度仪及压差表</w:t>
            </w:r>
            <w:r>
              <w:rPr>
                <w:rFonts w:hint="eastAsia"/>
                <w:spacing w:val="0"/>
                <w:sz w:val="20"/>
              </w:rPr>
              <w:t>）或者燃烧（包括直接燃烧、催化燃烧和蓄热燃烧）等处理工艺；收集的废气中NMHC初始排放速率≥2kg/h时，处理效率应不低于85%。</w:t>
            </w:r>
          </w:p>
        </w:tc>
        <w:tc>
          <w:tcPr>
            <w:tcW w:w="2064" w:type="pct"/>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金属表面处理：</w:t>
            </w:r>
          </w:p>
          <w:p>
            <w:pPr>
              <w:overflowPunct w:val="0"/>
              <w:topLinePunct/>
              <w:spacing w:line="320" w:lineRule="exact"/>
              <w:rPr>
                <w:kern w:val="0"/>
                <w:sz w:val="20"/>
              </w:rPr>
            </w:pPr>
            <w:r>
              <w:rPr>
                <w:rFonts w:hint="eastAsia"/>
                <w:kern w:val="0"/>
                <w:sz w:val="20"/>
              </w:rPr>
              <w:t>1、同A级第</w:t>
            </w:r>
            <w:r>
              <w:rPr>
                <w:rFonts w:hint="eastAsia"/>
                <w:kern w:val="0"/>
                <w:sz w:val="20"/>
                <w:lang w:val="en-US" w:eastAsia="zh-CN"/>
              </w:rPr>
              <w:t>1</w:t>
            </w:r>
            <w:r>
              <w:rPr>
                <w:rFonts w:hint="eastAsia"/>
                <w:kern w:val="0"/>
                <w:sz w:val="20"/>
              </w:rPr>
              <w:t>条要求。</w:t>
            </w:r>
          </w:p>
          <w:p>
            <w:pPr>
              <w:overflowPunct w:val="0"/>
              <w:topLinePunct/>
              <w:spacing w:line="320" w:lineRule="exact"/>
              <w:rPr>
                <w:spacing w:val="0"/>
                <w:sz w:val="20"/>
              </w:rPr>
            </w:pPr>
            <w:r>
              <w:rPr>
                <w:rFonts w:hint="eastAsia"/>
                <w:spacing w:val="0"/>
                <w:sz w:val="20"/>
                <w:lang w:val="en-US" w:eastAsia="zh-CN"/>
              </w:rPr>
              <w:t>2</w:t>
            </w:r>
            <w:r>
              <w:rPr>
                <w:rFonts w:hint="eastAsia"/>
                <w:spacing w:val="0"/>
                <w:sz w:val="20"/>
              </w:rPr>
              <w:t>、油雾废气采用油雾多级回收+VOCs治理技术；VOCs废气采用吸附、生物法等工艺处理</w:t>
            </w:r>
            <w:r>
              <w:rPr>
                <w:rFonts w:hint="eastAsia"/>
                <w:spacing w:val="0"/>
                <w:sz w:val="20"/>
                <w:lang w:eastAsia="zh-CN"/>
              </w:rPr>
              <w:t>，</w:t>
            </w:r>
            <w:r>
              <w:rPr>
                <w:rFonts w:hint="eastAsia"/>
                <w:b w:val="0"/>
                <w:bCs w:val="0"/>
                <w:sz w:val="20"/>
                <w:szCs w:val="20"/>
                <w:lang w:val="en-US" w:eastAsia="zh-CN"/>
              </w:rPr>
              <w:t>采用颗粒状活性炭要求碘值不低于800 mg/g，采用蜂窝状活性炭要求碘值不低于650 mg/g，且预处理单元应配备温湿度仪及压差表</w:t>
            </w:r>
            <w:r>
              <w:rPr>
                <w:rFonts w:hint="eastAsia"/>
                <w:spacing w:val="0"/>
                <w:sz w:val="20"/>
              </w:rPr>
              <w:t>；收集的废气中NMHC初始排放速率≥2kg/h时，处理效率应不低于80%。</w:t>
            </w:r>
          </w:p>
        </w:tc>
        <w:tc>
          <w:tcPr>
            <w:tcW w:w="696"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21"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p>
        </w:tc>
        <w:tc>
          <w:tcPr>
            <w:tcW w:w="3882" w:type="pct"/>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热处理加工：</w:t>
            </w:r>
          </w:p>
          <w:p>
            <w:pPr>
              <w:overflowPunct w:val="0"/>
              <w:topLinePunct/>
              <w:spacing w:line="320" w:lineRule="exact"/>
              <w:rPr>
                <w:kern w:val="0"/>
                <w:sz w:val="20"/>
              </w:rPr>
            </w:pPr>
            <w:r>
              <w:rPr>
                <w:rFonts w:hint="eastAsia"/>
                <w:kern w:val="0"/>
                <w:sz w:val="20"/>
              </w:rPr>
              <w:t>1、除尘采用高效袋式除尘或其他高效过滤式除尘设施。</w:t>
            </w:r>
          </w:p>
          <w:p>
            <w:pPr>
              <w:overflowPunct w:val="0"/>
              <w:topLinePunct/>
              <w:spacing w:line="320" w:lineRule="exact"/>
              <w:rPr>
                <w:kern w:val="0"/>
                <w:sz w:val="20"/>
              </w:rPr>
            </w:pPr>
            <w:r>
              <w:rPr>
                <w:rFonts w:hint="eastAsia"/>
                <w:kern w:val="0"/>
                <w:sz w:val="20"/>
              </w:rPr>
              <w:t>2、热处理炉和锅炉烟气采用低氮燃烧、SCR或SNCR等高效技术。</w:t>
            </w:r>
          </w:p>
        </w:tc>
        <w:tc>
          <w:tcPr>
            <w:tcW w:w="696"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21"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无组织管控</w:t>
            </w:r>
          </w:p>
        </w:tc>
        <w:tc>
          <w:tcPr>
            <w:tcW w:w="3882" w:type="pct"/>
            <w:gridSpan w:val="3"/>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rPr>
                <w:kern w:val="0"/>
                <w:sz w:val="20"/>
              </w:rPr>
            </w:pPr>
            <w:r>
              <w:rPr>
                <w:rFonts w:hint="eastAsia"/>
                <w:kern w:val="0"/>
                <w:sz w:val="20"/>
              </w:rPr>
              <w:t>1、原辅料、半成品及成品采用封闭或半封闭仓库、料棚分区存放，厂内无露天堆放物料。</w:t>
            </w:r>
          </w:p>
          <w:p>
            <w:pPr>
              <w:tabs>
                <w:tab w:val="left" w:pos="267"/>
              </w:tabs>
              <w:overflowPunct w:val="0"/>
              <w:topLinePunct/>
              <w:spacing w:line="320" w:lineRule="exact"/>
              <w:rPr>
                <w:kern w:val="0"/>
                <w:sz w:val="20"/>
              </w:rPr>
            </w:pPr>
            <w:r>
              <w:rPr>
                <w:rFonts w:hint="eastAsia"/>
                <w:kern w:val="0"/>
                <w:sz w:val="20"/>
              </w:rPr>
              <w:t>2、车间、料库四面封闭，通道口安装卷帘门、推拉门等封闭良好且便于开关的硬质门。</w:t>
            </w:r>
          </w:p>
          <w:p>
            <w:pPr>
              <w:tabs>
                <w:tab w:val="left" w:pos="267"/>
              </w:tabs>
              <w:overflowPunct w:val="0"/>
              <w:topLinePunct/>
              <w:spacing w:line="320" w:lineRule="exact"/>
              <w:rPr>
                <w:kern w:val="0"/>
                <w:sz w:val="20"/>
              </w:rPr>
            </w:pPr>
            <w:r>
              <w:rPr>
                <w:rFonts w:hint="eastAsia"/>
                <w:kern w:val="0"/>
                <w:sz w:val="20"/>
              </w:rPr>
              <w:t>3、易挥发原辅料应采用密闭容器盛装，并采用吸附、交换法等技术回收废酸液；运输应采用密闭容器或罐车进行物料转移；调配、使用等过程采用密闭设备或在封闭空间内操作，废气收集至相应处理系统。</w:t>
            </w:r>
          </w:p>
          <w:p>
            <w:pPr>
              <w:tabs>
                <w:tab w:val="left" w:pos="267"/>
              </w:tabs>
              <w:overflowPunct w:val="0"/>
              <w:topLinePunct/>
              <w:spacing w:line="320" w:lineRule="exact"/>
              <w:rPr>
                <w:kern w:val="0"/>
                <w:sz w:val="20"/>
              </w:rPr>
            </w:pPr>
            <w:r>
              <w:rPr>
                <w:rFonts w:hint="eastAsia"/>
                <w:kern w:val="0"/>
                <w:sz w:val="20"/>
              </w:rPr>
              <w:t>4、转移和输送VOCs物料以及VOCs废料（渣、液）时，应采用密闭管道或密闭容器。</w:t>
            </w:r>
          </w:p>
          <w:p>
            <w:pPr>
              <w:tabs>
                <w:tab w:val="left" w:pos="267"/>
              </w:tabs>
              <w:overflowPunct w:val="0"/>
              <w:topLinePunct/>
              <w:spacing w:line="320" w:lineRule="exact"/>
              <w:rPr>
                <w:kern w:val="0"/>
                <w:sz w:val="20"/>
              </w:rPr>
            </w:pPr>
            <w:r>
              <w:rPr>
                <w:rFonts w:hint="eastAsia"/>
                <w:kern w:val="0"/>
                <w:sz w:val="20"/>
              </w:rPr>
              <w:t>5、化学抛光槽、镀铬槽应加入酸雾抑制剂，有效减少废气产生。</w:t>
            </w:r>
          </w:p>
          <w:p>
            <w:pPr>
              <w:tabs>
                <w:tab w:val="left" w:pos="267"/>
              </w:tabs>
              <w:overflowPunct w:val="0"/>
              <w:topLinePunct/>
              <w:spacing w:line="320" w:lineRule="exact"/>
              <w:rPr>
                <w:kern w:val="0"/>
                <w:sz w:val="20"/>
              </w:rPr>
            </w:pPr>
            <w:r>
              <w:rPr>
                <w:rFonts w:hint="eastAsia"/>
                <w:kern w:val="0"/>
                <w:sz w:val="20"/>
              </w:rPr>
              <w:t>6、危险废料存放于独立密闭暂存间内，暂存间内地面硬化并做好防扬散、防流失、防渗漏措施；液体危废需采用密闭容器盛装，必须有</w:t>
            </w:r>
            <w:r>
              <w:rPr>
                <w:rFonts w:hint="default"/>
                <w:kern w:val="0"/>
                <w:sz w:val="20"/>
              </w:rPr>
              <w:t>泄漏</w:t>
            </w:r>
            <w:r>
              <w:rPr>
                <w:rFonts w:hint="eastAsia"/>
                <w:kern w:val="0"/>
                <w:sz w:val="20"/>
              </w:rPr>
              <w:t>液收集装置（托盘、导流沟、收集池等）；</w:t>
            </w:r>
            <w:r>
              <w:rPr>
                <w:rFonts w:hint="eastAsia"/>
                <w:kern w:val="0"/>
                <w:sz w:val="20"/>
                <w:lang w:eastAsia="zh-CN"/>
              </w:rPr>
              <w:t>含</w:t>
            </w:r>
            <w:r>
              <w:rPr>
                <w:rFonts w:hint="eastAsia"/>
                <w:kern w:val="0"/>
                <w:sz w:val="20"/>
              </w:rPr>
              <w:t>挥发性</w:t>
            </w:r>
            <w:r>
              <w:rPr>
                <w:rFonts w:hint="eastAsia"/>
                <w:kern w:val="0"/>
                <w:sz w:val="20"/>
                <w:lang w:eastAsia="zh-CN"/>
              </w:rPr>
              <w:t>有机物</w:t>
            </w:r>
            <w:r>
              <w:rPr>
                <w:rFonts w:hint="eastAsia"/>
                <w:kern w:val="0"/>
                <w:sz w:val="20"/>
              </w:rPr>
              <w:t>气体的危废需采用密闭容器盛装，暂存间废气经导出口排至气体净化装置。</w:t>
            </w:r>
          </w:p>
          <w:p>
            <w:pPr>
              <w:tabs>
                <w:tab w:val="left" w:pos="267"/>
              </w:tabs>
              <w:overflowPunct w:val="0"/>
              <w:topLinePunct/>
              <w:spacing w:line="320" w:lineRule="exact"/>
              <w:rPr>
                <w:kern w:val="0"/>
                <w:sz w:val="20"/>
              </w:rPr>
            </w:pPr>
            <w:r>
              <w:rPr>
                <w:rFonts w:hint="eastAsia"/>
                <w:kern w:val="0"/>
                <w:sz w:val="20"/>
              </w:rPr>
              <w:t>7、涉及危化品的企业，需按照国家法律法规以及相关规范管理。</w:t>
            </w:r>
          </w:p>
          <w:p>
            <w:pPr>
              <w:overflowPunct w:val="0"/>
              <w:topLinePunct/>
              <w:spacing w:line="320" w:lineRule="exact"/>
              <w:rPr>
                <w:spacing w:val="0"/>
                <w:sz w:val="20"/>
              </w:rPr>
            </w:pPr>
            <w:r>
              <w:rPr>
                <w:rFonts w:hint="eastAsia"/>
                <w:spacing w:val="0"/>
                <w:sz w:val="20"/>
              </w:rPr>
              <w:t>8、厂内地面全部硬化或绿化，无裸露土地。车间规范干净整洁，无物料洒落和“跑、冒、滴、漏”现象。</w:t>
            </w:r>
          </w:p>
        </w:tc>
        <w:tc>
          <w:tcPr>
            <w:tcW w:w="696"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21"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p>
        </w:tc>
        <w:tc>
          <w:tcPr>
            <w:tcW w:w="1891"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rPr>
                <w:kern w:val="0"/>
                <w:sz w:val="20"/>
              </w:rPr>
            </w:pPr>
            <w:r>
              <w:rPr>
                <w:rFonts w:hint="eastAsia"/>
                <w:kern w:val="0"/>
                <w:sz w:val="20"/>
                <w:lang w:val="en-US" w:eastAsia="zh-CN"/>
              </w:rPr>
              <w:t>9、</w:t>
            </w:r>
            <w:r>
              <w:rPr>
                <w:rFonts w:hint="eastAsia"/>
                <w:kern w:val="0"/>
                <w:sz w:val="20"/>
              </w:rPr>
              <w:t>金属表面处理及热处理工序应在密闭空间或者封闭设备内进行，并对工序产生的酸雾、油雾及VOCs废气进行密闭</w:t>
            </w:r>
            <w:r>
              <w:rPr>
                <w:rFonts w:hint="eastAsia"/>
                <w:kern w:val="0"/>
                <w:sz w:val="20"/>
                <w:lang w:eastAsia="zh-CN"/>
              </w:rPr>
              <w:t>负压</w:t>
            </w:r>
            <w:r>
              <w:rPr>
                <w:rFonts w:hint="eastAsia"/>
                <w:kern w:val="0"/>
                <w:sz w:val="20"/>
              </w:rPr>
              <w:t>收集处理。</w:t>
            </w:r>
          </w:p>
        </w:tc>
        <w:tc>
          <w:tcPr>
            <w:tcW w:w="1990"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rPr>
                <w:kern w:val="0"/>
                <w:sz w:val="20"/>
              </w:rPr>
            </w:pPr>
            <w:r>
              <w:rPr>
                <w:rFonts w:hint="eastAsia"/>
                <w:kern w:val="0"/>
                <w:sz w:val="20"/>
                <w:lang w:val="en-US" w:eastAsia="zh-CN"/>
              </w:rPr>
              <w:t>9、</w:t>
            </w:r>
            <w:r>
              <w:rPr>
                <w:rFonts w:hint="eastAsia"/>
                <w:kern w:val="0"/>
                <w:sz w:val="20"/>
              </w:rPr>
              <w:t>金属表面处理及热处理工序在封闭车间内进行，废气采用集气罩、槽边排风等</w:t>
            </w:r>
            <w:r>
              <w:rPr>
                <w:rFonts w:hint="eastAsia"/>
                <w:kern w:val="0"/>
                <w:sz w:val="20"/>
                <w:lang w:eastAsia="zh-CN"/>
              </w:rPr>
              <w:t>微负压</w:t>
            </w:r>
            <w:r>
              <w:rPr>
                <w:rFonts w:hint="eastAsia"/>
                <w:kern w:val="0"/>
                <w:sz w:val="20"/>
              </w:rPr>
              <w:t>收集并处理，距集气罩开口面最远处的</w:t>
            </w:r>
            <w:r>
              <w:rPr>
                <w:rFonts w:hint="eastAsia"/>
                <w:kern w:val="0"/>
                <w:sz w:val="20"/>
                <w:lang w:val="en-US" w:eastAsia="zh-CN"/>
              </w:rPr>
              <w:t>VOCs</w:t>
            </w:r>
            <w:r>
              <w:rPr>
                <w:rFonts w:hint="eastAsia"/>
                <w:kern w:val="0"/>
                <w:sz w:val="20"/>
              </w:rPr>
              <w:t>废气无组织排放位置风速不低于0.3m/s。</w:t>
            </w:r>
          </w:p>
        </w:tc>
        <w:tc>
          <w:tcPr>
            <w:tcW w:w="696"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21"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排放限值</w:t>
            </w:r>
          </w:p>
        </w:tc>
        <w:tc>
          <w:tcPr>
            <w:tcW w:w="1891" w:type="pct"/>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340" w:lineRule="exact"/>
              <w:rPr>
                <w:rFonts w:hint="eastAsia"/>
                <w:kern w:val="0"/>
                <w:sz w:val="20"/>
                <w:lang w:eastAsia="zh-CN"/>
              </w:rPr>
            </w:pPr>
            <w:r>
              <w:rPr>
                <w:rFonts w:hint="eastAsia"/>
                <w:kern w:val="0"/>
                <w:sz w:val="20"/>
              </w:rPr>
              <w:t>热处理加工：</w:t>
            </w:r>
            <w:r>
              <w:rPr>
                <w:rFonts w:hint="eastAsia"/>
                <w:kern w:val="0"/>
                <w:sz w:val="20"/>
                <w:lang w:val="en-US" w:eastAsia="zh-CN"/>
              </w:rPr>
              <w:t>1、燃气炉：</w:t>
            </w:r>
            <w:r>
              <w:rPr>
                <w:rFonts w:hint="eastAsia"/>
                <w:kern w:val="0"/>
                <w:sz w:val="20"/>
              </w:rPr>
              <w:t>PM、SO</w:t>
            </w:r>
            <w:r>
              <w:rPr>
                <w:rFonts w:hint="eastAsia"/>
                <w:kern w:val="0"/>
                <w:sz w:val="20"/>
                <w:vertAlign w:val="subscript"/>
              </w:rPr>
              <w:t>2</w:t>
            </w:r>
            <w:r>
              <w:rPr>
                <w:rFonts w:hint="eastAsia"/>
                <w:kern w:val="0"/>
                <w:sz w:val="20"/>
              </w:rPr>
              <w:t>、NO</w:t>
            </w:r>
            <w:r>
              <w:rPr>
                <w:rFonts w:hint="eastAsia"/>
                <w:i/>
                <w:iCs/>
                <w:kern w:val="0"/>
                <w:sz w:val="20"/>
                <w:vertAlign w:val="subscript"/>
              </w:rPr>
              <w:t>x</w:t>
            </w:r>
            <w:r>
              <w:rPr>
                <w:rFonts w:hint="eastAsia"/>
                <w:kern w:val="0"/>
                <w:sz w:val="20"/>
              </w:rPr>
              <w:t>排放浓度分别不超过10mg/m</w:t>
            </w:r>
            <w:r>
              <w:rPr>
                <w:rFonts w:hint="eastAsia"/>
                <w:kern w:val="0"/>
                <w:sz w:val="20"/>
                <w:vertAlign w:val="superscript"/>
              </w:rPr>
              <w:t>3</w:t>
            </w:r>
            <w:r>
              <w:rPr>
                <w:rFonts w:hint="eastAsia"/>
                <w:kern w:val="0"/>
                <w:sz w:val="20"/>
              </w:rPr>
              <w:t>、</w:t>
            </w:r>
            <w:r>
              <w:rPr>
                <w:rFonts w:hint="eastAsia"/>
                <w:kern w:val="0"/>
                <w:sz w:val="20"/>
                <w:lang w:val="en-US" w:eastAsia="zh-CN"/>
              </w:rPr>
              <w:t>35</w:t>
            </w:r>
            <w:r>
              <w:rPr>
                <w:rFonts w:hint="eastAsia"/>
                <w:kern w:val="0"/>
                <w:sz w:val="20"/>
              </w:rPr>
              <w:t>mg/m</w:t>
            </w:r>
            <w:r>
              <w:rPr>
                <w:rFonts w:hint="eastAsia"/>
                <w:kern w:val="0"/>
                <w:sz w:val="20"/>
                <w:vertAlign w:val="superscript"/>
              </w:rPr>
              <w:t>3</w:t>
            </w:r>
            <w:r>
              <w:rPr>
                <w:rFonts w:hint="eastAsia"/>
                <w:kern w:val="0"/>
                <w:sz w:val="20"/>
              </w:rPr>
              <w:t>和</w:t>
            </w:r>
            <w:r>
              <w:rPr>
                <w:rFonts w:hint="eastAsia"/>
                <w:kern w:val="0"/>
                <w:sz w:val="20"/>
                <w:lang w:val="en-US" w:eastAsia="zh-CN"/>
              </w:rPr>
              <w:t>5</w:t>
            </w:r>
            <w:r>
              <w:rPr>
                <w:rFonts w:hint="eastAsia"/>
                <w:kern w:val="0"/>
                <w:sz w:val="20"/>
              </w:rPr>
              <w:t>0mg/m</w:t>
            </w:r>
            <w:r>
              <w:rPr>
                <w:rFonts w:hint="eastAsia"/>
                <w:kern w:val="0"/>
                <w:sz w:val="20"/>
                <w:vertAlign w:val="superscript"/>
              </w:rPr>
              <w:t>3</w:t>
            </w:r>
            <w:r>
              <w:rPr>
                <w:rFonts w:hint="eastAsia"/>
                <w:kern w:val="0"/>
                <w:sz w:val="20"/>
              </w:rPr>
              <w:t>（燃气炉基准氧含量</w:t>
            </w:r>
            <w:r>
              <w:rPr>
                <w:rFonts w:hint="eastAsia"/>
                <w:kern w:val="0"/>
                <w:sz w:val="20"/>
                <w:lang w:val="en-US" w:eastAsia="zh-CN"/>
              </w:rPr>
              <w:t>3.5</w:t>
            </w:r>
            <w:r>
              <w:rPr>
                <w:rFonts w:hint="eastAsia"/>
                <w:kern w:val="0"/>
                <w:sz w:val="20"/>
              </w:rPr>
              <w:t>%</w:t>
            </w:r>
            <w:r>
              <w:rPr>
                <w:rFonts w:hint="eastAsia"/>
                <w:kern w:val="0"/>
                <w:sz w:val="20"/>
                <w:lang w:eastAsia="zh-CN"/>
              </w:rPr>
              <w:t>）；</w:t>
            </w:r>
          </w:p>
          <w:p>
            <w:pPr>
              <w:overflowPunct w:val="0"/>
              <w:topLinePunct/>
              <w:spacing w:line="340" w:lineRule="exact"/>
              <w:rPr>
                <w:kern w:val="0"/>
                <w:sz w:val="20"/>
              </w:rPr>
            </w:pPr>
            <w:r>
              <w:rPr>
                <w:rFonts w:hint="eastAsia"/>
                <w:kern w:val="0"/>
                <w:sz w:val="20"/>
                <w:lang w:val="en-US" w:eastAsia="zh-CN"/>
              </w:rPr>
              <w:t>2、其他炉窑：</w:t>
            </w:r>
            <w:r>
              <w:rPr>
                <w:rFonts w:hint="eastAsia"/>
                <w:kern w:val="0"/>
                <w:sz w:val="20"/>
              </w:rPr>
              <w:t>PM、SO</w:t>
            </w:r>
            <w:r>
              <w:rPr>
                <w:rFonts w:hint="eastAsia"/>
                <w:kern w:val="0"/>
                <w:sz w:val="20"/>
                <w:vertAlign w:val="subscript"/>
              </w:rPr>
              <w:t>2</w:t>
            </w:r>
            <w:r>
              <w:rPr>
                <w:rFonts w:hint="eastAsia"/>
                <w:kern w:val="0"/>
                <w:sz w:val="20"/>
              </w:rPr>
              <w:t>、NO</w:t>
            </w:r>
            <w:r>
              <w:rPr>
                <w:rFonts w:hint="eastAsia"/>
                <w:i/>
                <w:iCs/>
                <w:kern w:val="0"/>
                <w:sz w:val="20"/>
                <w:vertAlign w:val="subscript"/>
              </w:rPr>
              <w:t>x</w:t>
            </w:r>
            <w:r>
              <w:rPr>
                <w:rFonts w:hint="eastAsia"/>
                <w:kern w:val="0"/>
                <w:sz w:val="20"/>
              </w:rPr>
              <w:t>排放浓度分别不超过10mg/m</w:t>
            </w:r>
            <w:r>
              <w:rPr>
                <w:rFonts w:hint="eastAsia"/>
                <w:kern w:val="0"/>
                <w:sz w:val="20"/>
                <w:vertAlign w:val="superscript"/>
              </w:rPr>
              <w:t>3</w:t>
            </w:r>
            <w:r>
              <w:rPr>
                <w:rFonts w:hint="eastAsia"/>
                <w:kern w:val="0"/>
                <w:sz w:val="20"/>
              </w:rPr>
              <w:t>、</w:t>
            </w:r>
            <w:r>
              <w:rPr>
                <w:rFonts w:hint="eastAsia"/>
                <w:kern w:val="0"/>
                <w:sz w:val="20"/>
                <w:lang w:val="en-US" w:eastAsia="zh-CN"/>
              </w:rPr>
              <w:t>50</w:t>
            </w:r>
            <w:r>
              <w:rPr>
                <w:rFonts w:hint="eastAsia"/>
                <w:kern w:val="0"/>
                <w:sz w:val="20"/>
              </w:rPr>
              <w:t>mg/m</w:t>
            </w:r>
            <w:r>
              <w:rPr>
                <w:rFonts w:hint="eastAsia"/>
                <w:kern w:val="0"/>
                <w:sz w:val="20"/>
                <w:vertAlign w:val="superscript"/>
              </w:rPr>
              <w:t>3</w:t>
            </w:r>
            <w:r>
              <w:rPr>
                <w:rFonts w:hint="eastAsia"/>
                <w:kern w:val="0"/>
                <w:sz w:val="20"/>
              </w:rPr>
              <w:t>和</w:t>
            </w:r>
            <w:r>
              <w:rPr>
                <w:rFonts w:hint="eastAsia"/>
                <w:kern w:val="0"/>
                <w:sz w:val="20"/>
                <w:lang w:val="en-US" w:eastAsia="zh-CN"/>
              </w:rPr>
              <w:t>10</w:t>
            </w:r>
            <w:r>
              <w:rPr>
                <w:rFonts w:hint="eastAsia"/>
                <w:kern w:val="0"/>
                <w:sz w:val="20"/>
              </w:rPr>
              <w:t>0mg/m</w:t>
            </w:r>
            <w:r>
              <w:rPr>
                <w:rFonts w:hint="eastAsia"/>
                <w:kern w:val="0"/>
                <w:sz w:val="20"/>
                <w:vertAlign w:val="superscript"/>
              </w:rPr>
              <w:t>3</w:t>
            </w:r>
            <w:r>
              <w:rPr>
                <w:rFonts w:hint="eastAsia"/>
                <w:kern w:val="0"/>
                <w:sz w:val="20"/>
                <w:lang w:eastAsia="zh-CN"/>
              </w:rPr>
              <w:t>（</w:t>
            </w:r>
            <w:r>
              <w:rPr>
                <w:rFonts w:hint="eastAsia"/>
                <w:kern w:val="0"/>
                <w:sz w:val="20"/>
              </w:rPr>
              <w:t>其他炉窑基准氧含量9%）。</w:t>
            </w:r>
          </w:p>
          <w:p>
            <w:pPr>
              <w:overflowPunct w:val="0"/>
              <w:topLinePunct/>
              <w:spacing w:line="340" w:lineRule="exact"/>
              <w:rPr>
                <w:kern w:val="0"/>
                <w:sz w:val="20"/>
              </w:rPr>
            </w:pPr>
            <w:r>
              <w:rPr>
                <w:rFonts w:hint="eastAsia"/>
                <w:kern w:val="0"/>
                <w:sz w:val="20"/>
              </w:rPr>
              <w:t>金属表面处理：1、氯化氢、硫酸雾排放浓度不超过10mg/m</w:t>
            </w:r>
            <w:r>
              <w:rPr>
                <w:rFonts w:hint="eastAsia"/>
                <w:kern w:val="0"/>
                <w:sz w:val="20"/>
                <w:vertAlign w:val="superscript"/>
              </w:rPr>
              <w:t>3</w:t>
            </w:r>
            <w:r>
              <w:rPr>
                <w:rFonts w:hint="eastAsia"/>
                <w:kern w:val="0"/>
                <w:sz w:val="20"/>
              </w:rPr>
              <w:t>；铬酸雾排放浓度不超过0.05mg/m</w:t>
            </w:r>
            <w:r>
              <w:rPr>
                <w:rFonts w:hint="eastAsia"/>
                <w:kern w:val="0"/>
                <w:sz w:val="20"/>
                <w:vertAlign w:val="superscript"/>
              </w:rPr>
              <w:t>3</w:t>
            </w:r>
            <w:r>
              <w:rPr>
                <w:rFonts w:hint="eastAsia"/>
                <w:kern w:val="0"/>
                <w:sz w:val="20"/>
              </w:rPr>
              <w:t>；氰化氢排放浓度不超过0.5mg/m</w:t>
            </w:r>
            <w:r>
              <w:rPr>
                <w:rFonts w:hint="eastAsia"/>
                <w:kern w:val="0"/>
                <w:sz w:val="20"/>
                <w:vertAlign w:val="superscript"/>
              </w:rPr>
              <w:t>3</w:t>
            </w:r>
            <w:r>
              <w:rPr>
                <w:rFonts w:hint="eastAsia"/>
                <w:kern w:val="0"/>
                <w:sz w:val="20"/>
              </w:rPr>
              <w:t>；氟化物排放浓度不超过5mg/m</w:t>
            </w:r>
            <w:r>
              <w:rPr>
                <w:rFonts w:hint="eastAsia"/>
                <w:kern w:val="0"/>
                <w:sz w:val="20"/>
                <w:vertAlign w:val="superscript"/>
              </w:rPr>
              <w:t>3</w:t>
            </w:r>
            <w:r>
              <w:rPr>
                <w:rFonts w:hint="eastAsia"/>
                <w:kern w:val="0"/>
                <w:sz w:val="20"/>
              </w:rPr>
              <w:t>；NO</w:t>
            </w:r>
            <w:r>
              <w:rPr>
                <w:rFonts w:hint="eastAsia"/>
                <w:i/>
                <w:iCs/>
                <w:kern w:val="0"/>
                <w:sz w:val="20"/>
                <w:vertAlign w:val="subscript"/>
              </w:rPr>
              <w:t>x</w:t>
            </w:r>
            <w:r>
              <w:rPr>
                <w:rFonts w:hint="eastAsia"/>
                <w:kern w:val="0"/>
                <w:sz w:val="20"/>
              </w:rPr>
              <w:t>排放浓度不超过100mg/m</w:t>
            </w:r>
            <w:r>
              <w:rPr>
                <w:rFonts w:hint="eastAsia"/>
                <w:kern w:val="0"/>
                <w:sz w:val="20"/>
                <w:vertAlign w:val="superscript"/>
              </w:rPr>
              <w:t>3</w:t>
            </w:r>
            <w:r>
              <w:rPr>
                <w:rFonts w:hint="eastAsia"/>
                <w:kern w:val="0"/>
                <w:sz w:val="20"/>
              </w:rPr>
              <w:t>。</w:t>
            </w:r>
          </w:p>
          <w:p>
            <w:pPr>
              <w:overflowPunct w:val="0"/>
              <w:topLinePunct/>
              <w:spacing w:line="340" w:lineRule="exact"/>
              <w:rPr>
                <w:kern w:val="0"/>
                <w:sz w:val="20"/>
              </w:rPr>
            </w:pPr>
            <w:r>
              <w:rPr>
                <w:rFonts w:hint="eastAsia"/>
                <w:kern w:val="0"/>
                <w:sz w:val="20"/>
              </w:rPr>
              <w:t>2、油雾废气（以非甲烷总烃计）有组织排放限值要求：排放浓度不超过30mg/m</w:t>
            </w:r>
            <w:r>
              <w:rPr>
                <w:rFonts w:hint="eastAsia"/>
                <w:kern w:val="0"/>
                <w:sz w:val="20"/>
                <w:vertAlign w:val="superscript"/>
              </w:rPr>
              <w:t>3</w:t>
            </w:r>
            <w:r>
              <w:rPr>
                <w:rFonts w:hint="eastAsia"/>
                <w:kern w:val="0"/>
                <w:sz w:val="20"/>
              </w:rPr>
              <w:t>。</w:t>
            </w:r>
          </w:p>
          <w:p>
            <w:pPr>
              <w:overflowPunct w:val="0"/>
              <w:topLinePunct/>
              <w:spacing w:line="340" w:lineRule="exact"/>
              <w:rPr>
                <w:kern w:val="0"/>
                <w:sz w:val="20"/>
              </w:rPr>
            </w:pPr>
            <w:r>
              <w:rPr>
                <w:rFonts w:hint="eastAsia"/>
                <w:kern w:val="0"/>
                <w:sz w:val="20"/>
              </w:rPr>
              <w:t>3、厂区内无组织排放监控点NMHC的1h平均浓度值不高于6mg/m</w:t>
            </w:r>
            <w:r>
              <w:rPr>
                <w:rFonts w:hint="eastAsia"/>
                <w:kern w:val="0"/>
                <w:sz w:val="20"/>
                <w:vertAlign w:val="superscript"/>
              </w:rPr>
              <w:t>3</w:t>
            </w:r>
            <w:r>
              <w:rPr>
                <w:rFonts w:hint="eastAsia"/>
                <w:kern w:val="0"/>
                <w:sz w:val="20"/>
              </w:rPr>
              <w:t>、任意一次浓度值不高于20mg/m</w:t>
            </w:r>
            <w:r>
              <w:rPr>
                <w:rFonts w:hint="eastAsia"/>
                <w:kern w:val="0"/>
                <w:sz w:val="20"/>
                <w:vertAlign w:val="superscript"/>
              </w:rPr>
              <w:t>3</w:t>
            </w:r>
            <w:r>
              <w:rPr>
                <w:rFonts w:hint="eastAsia"/>
                <w:kern w:val="0"/>
                <w:sz w:val="20"/>
              </w:rPr>
              <w:t>。</w:t>
            </w:r>
          </w:p>
          <w:p>
            <w:pPr>
              <w:overflowPunct w:val="0"/>
              <w:topLinePunct/>
              <w:spacing w:line="340" w:lineRule="exact"/>
              <w:rPr>
                <w:kern w:val="0"/>
                <w:sz w:val="20"/>
              </w:rPr>
            </w:pPr>
            <w:r>
              <w:rPr>
                <w:rFonts w:hint="eastAsia"/>
                <w:kern w:val="0"/>
                <w:sz w:val="20"/>
              </w:rPr>
              <w:t>4、其他各项污染物稳定达到现行排放控制要求。</w:t>
            </w:r>
          </w:p>
        </w:tc>
        <w:tc>
          <w:tcPr>
            <w:tcW w:w="199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40" w:lineRule="exact"/>
              <w:rPr>
                <w:rFonts w:hint="eastAsia" w:eastAsia="仿宋_GB2312"/>
                <w:kern w:val="0"/>
                <w:sz w:val="20"/>
                <w:lang w:eastAsia="zh-CN"/>
              </w:rPr>
            </w:pPr>
            <w:r>
              <w:rPr>
                <w:rFonts w:hint="eastAsia"/>
                <w:kern w:val="0"/>
                <w:sz w:val="20"/>
              </w:rPr>
              <w:t>热处理加工：</w:t>
            </w:r>
            <w:r>
              <w:rPr>
                <w:rFonts w:hint="eastAsia"/>
                <w:kern w:val="0"/>
                <w:sz w:val="20"/>
                <w:lang w:val="en-US" w:eastAsia="zh-CN"/>
              </w:rPr>
              <w:t>1、燃气炉：</w:t>
            </w:r>
            <w:r>
              <w:rPr>
                <w:rFonts w:hint="eastAsia"/>
                <w:kern w:val="0"/>
                <w:sz w:val="20"/>
              </w:rPr>
              <w:t>PM、SO</w:t>
            </w:r>
            <w:r>
              <w:rPr>
                <w:rFonts w:hint="eastAsia"/>
                <w:kern w:val="0"/>
                <w:sz w:val="20"/>
                <w:vertAlign w:val="subscript"/>
              </w:rPr>
              <w:t>2</w:t>
            </w:r>
            <w:r>
              <w:rPr>
                <w:rFonts w:hint="eastAsia"/>
                <w:kern w:val="0"/>
                <w:sz w:val="20"/>
              </w:rPr>
              <w:t>、NO</w:t>
            </w:r>
            <w:r>
              <w:rPr>
                <w:rFonts w:hint="eastAsia"/>
                <w:i/>
                <w:iCs/>
                <w:kern w:val="0"/>
                <w:sz w:val="20"/>
                <w:vertAlign w:val="subscript"/>
              </w:rPr>
              <w:t>x</w:t>
            </w:r>
            <w:r>
              <w:rPr>
                <w:rFonts w:hint="eastAsia"/>
                <w:kern w:val="0"/>
                <w:sz w:val="20"/>
              </w:rPr>
              <w:t>排放浓度分别不超过10mg/m</w:t>
            </w:r>
            <w:r>
              <w:rPr>
                <w:rFonts w:hint="eastAsia"/>
                <w:kern w:val="0"/>
                <w:sz w:val="20"/>
                <w:vertAlign w:val="superscript"/>
              </w:rPr>
              <w:t>3</w:t>
            </w:r>
            <w:r>
              <w:rPr>
                <w:rFonts w:hint="eastAsia"/>
                <w:kern w:val="0"/>
                <w:sz w:val="20"/>
              </w:rPr>
              <w:t>、</w:t>
            </w:r>
            <w:r>
              <w:rPr>
                <w:rFonts w:hint="eastAsia"/>
                <w:kern w:val="0"/>
                <w:sz w:val="20"/>
                <w:lang w:val="en-US" w:eastAsia="zh-CN"/>
              </w:rPr>
              <w:t>5</w:t>
            </w:r>
            <w:r>
              <w:rPr>
                <w:rFonts w:hint="eastAsia"/>
                <w:kern w:val="0"/>
                <w:sz w:val="20"/>
              </w:rPr>
              <w:t>0mg/m</w:t>
            </w:r>
            <w:r>
              <w:rPr>
                <w:rFonts w:hint="eastAsia"/>
                <w:kern w:val="0"/>
                <w:sz w:val="20"/>
                <w:vertAlign w:val="superscript"/>
              </w:rPr>
              <w:t>3</w:t>
            </w:r>
            <w:r>
              <w:rPr>
                <w:rFonts w:hint="eastAsia"/>
                <w:kern w:val="0"/>
                <w:sz w:val="20"/>
              </w:rPr>
              <w:t>和</w:t>
            </w:r>
            <w:r>
              <w:rPr>
                <w:rFonts w:hint="eastAsia"/>
                <w:kern w:val="0"/>
                <w:sz w:val="20"/>
                <w:lang w:val="en-US" w:eastAsia="zh-CN"/>
              </w:rPr>
              <w:t>1</w:t>
            </w:r>
            <w:r>
              <w:rPr>
                <w:rFonts w:hint="eastAsia"/>
                <w:kern w:val="0"/>
                <w:sz w:val="20"/>
              </w:rPr>
              <w:t>00mg/m</w:t>
            </w:r>
            <w:r>
              <w:rPr>
                <w:rFonts w:hint="eastAsia"/>
                <w:kern w:val="0"/>
                <w:sz w:val="20"/>
                <w:vertAlign w:val="superscript"/>
              </w:rPr>
              <w:t>3</w:t>
            </w:r>
            <w:r>
              <w:rPr>
                <w:rFonts w:hint="eastAsia"/>
                <w:kern w:val="0"/>
                <w:sz w:val="20"/>
              </w:rPr>
              <w:t>（燃气炉基准氧含量</w:t>
            </w:r>
            <w:r>
              <w:rPr>
                <w:rFonts w:hint="eastAsia"/>
                <w:kern w:val="0"/>
                <w:sz w:val="20"/>
                <w:lang w:val="en-US" w:eastAsia="zh-CN"/>
              </w:rPr>
              <w:t>3.5</w:t>
            </w:r>
            <w:r>
              <w:rPr>
                <w:rFonts w:hint="eastAsia"/>
                <w:kern w:val="0"/>
                <w:sz w:val="20"/>
              </w:rPr>
              <w:t>%）</w:t>
            </w:r>
            <w:r>
              <w:rPr>
                <w:rFonts w:hint="eastAsia"/>
                <w:kern w:val="0"/>
                <w:sz w:val="20"/>
                <w:lang w:eastAsia="zh-CN"/>
              </w:rPr>
              <w:t>；</w:t>
            </w:r>
          </w:p>
          <w:p>
            <w:pPr>
              <w:overflowPunct w:val="0"/>
              <w:topLinePunct/>
              <w:spacing w:line="340" w:lineRule="exact"/>
              <w:rPr>
                <w:rFonts w:hint="eastAsia" w:eastAsia="仿宋_GB2312"/>
                <w:kern w:val="0"/>
                <w:sz w:val="20"/>
                <w:lang w:val="en-US" w:eastAsia="zh-CN"/>
              </w:rPr>
            </w:pPr>
            <w:r>
              <w:rPr>
                <w:rFonts w:hint="eastAsia"/>
                <w:kern w:val="0"/>
                <w:sz w:val="20"/>
                <w:lang w:val="en-US" w:eastAsia="zh-CN"/>
              </w:rPr>
              <w:t>2、其他炉窑：</w:t>
            </w:r>
            <w:r>
              <w:rPr>
                <w:rFonts w:hint="eastAsia"/>
                <w:kern w:val="0"/>
                <w:sz w:val="20"/>
              </w:rPr>
              <w:t>PM、SO</w:t>
            </w:r>
            <w:r>
              <w:rPr>
                <w:rFonts w:hint="eastAsia"/>
                <w:kern w:val="0"/>
                <w:sz w:val="20"/>
                <w:vertAlign w:val="subscript"/>
              </w:rPr>
              <w:t>2</w:t>
            </w:r>
            <w:r>
              <w:rPr>
                <w:rFonts w:hint="eastAsia"/>
                <w:kern w:val="0"/>
                <w:sz w:val="20"/>
              </w:rPr>
              <w:t>、NO</w:t>
            </w:r>
            <w:r>
              <w:rPr>
                <w:rFonts w:hint="eastAsia"/>
                <w:i/>
                <w:iCs/>
                <w:kern w:val="0"/>
                <w:sz w:val="20"/>
                <w:vertAlign w:val="subscript"/>
              </w:rPr>
              <w:t>x</w:t>
            </w:r>
            <w:r>
              <w:rPr>
                <w:rFonts w:hint="eastAsia"/>
                <w:kern w:val="0"/>
                <w:sz w:val="20"/>
              </w:rPr>
              <w:t>排放浓度分别不超过10mg/m</w:t>
            </w:r>
            <w:r>
              <w:rPr>
                <w:rFonts w:hint="eastAsia"/>
                <w:kern w:val="0"/>
                <w:sz w:val="20"/>
                <w:vertAlign w:val="superscript"/>
              </w:rPr>
              <w:t>3</w:t>
            </w:r>
            <w:r>
              <w:rPr>
                <w:rFonts w:hint="eastAsia"/>
                <w:kern w:val="0"/>
                <w:sz w:val="20"/>
              </w:rPr>
              <w:t>、</w:t>
            </w:r>
            <w:r>
              <w:rPr>
                <w:rFonts w:hint="eastAsia"/>
                <w:kern w:val="0"/>
                <w:sz w:val="20"/>
                <w:lang w:val="en-US" w:eastAsia="zh-CN"/>
              </w:rPr>
              <w:t>100</w:t>
            </w:r>
            <w:r>
              <w:rPr>
                <w:rFonts w:hint="eastAsia"/>
                <w:kern w:val="0"/>
                <w:sz w:val="20"/>
              </w:rPr>
              <w:t>mg/m</w:t>
            </w:r>
            <w:r>
              <w:rPr>
                <w:rFonts w:hint="eastAsia"/>
                <w:kern w:val="0"/>
                <w:sz w:val="20"/>
                <w:vertAlign w:val="superscript"/>
              </w:rPr>
              <w:t>3</w:t>
            </w:r>
            <w:r>
              <w:rPr>
                <w:rFonts w:hint="eastAsia"/>
                <w:kern w:val="0"/>
                <w:sz w:val="20"/>
              </w:rPr>
              <w:t>和</w:t>
            </w:r>
            <w:r>
              <w:rPr>
                <w:rFonts w:hint="eastAsia"/>
                <w:kern w:val="0"/>
                <w:sz w:val="20"/>
                <w:lang w:val="en-US" w:eastAsia="zh-CN"/>
              </w:rPr>
              <w:t>20</w:t>
            </w:r>
            <w:r>
              <w:rPr>
                <w:rFonts w:hint="eastAsia"/>
                <w:kern w:val="0"/>
                <w:sz w:val="20"/>
              </w:rPr>
              <w:t>0mg/m</w:t>
            </w:r>
            <w:r>
              <w:rPr>
                <w:rFonts w:hint="eastAsia"/>
                <w:kern w:val="0"/>
                <w:sz w:val="20"/>
                <w:vertAlign w:val="superscript"/>
              </w:rPr>
              <w:t>3</w:t>
            </w:r>
            <w:r>
              <w:rPr>
                <w:rFonts w:hint="eastAsia"/>
                <w:kern w:val="0"/>
                <w:sz w:val="20"/>
                <w:lang w:eastAsia="zh-CN"/>
              </w:rPr>
              <w:t>（</w:t>
            </w:r>
            <w:r>
              <w:rPr>
                <w:rFonts w:hint="eastAsia"/>
                <w:kern w:val="0"/>
                <w:sz w:val="20"/>
              </w:rPr>
              <w:t>其他炉窑基准氧含量9%）。</w:t>
            </w:r>
          </w:p>
          <w:p>
            <w:pPr>
              <w:overflowPunct w:val="0"/>
              <w:topLinePunct/>
              <w:spacing w:line="340" w:lineRule="exact"/>
              <w:rPr>
                <w:kern w:val="0"/>
                <w:sz w:val="20"/>
              </w:rPr>
            </w:pPr>
            <w:r>
              <w:rPr>
                <w:rFonts w:hint="eastAsia"/>
                <w:kern w:val="0"/>
                <w:sz w:val="20"/>
              </w:rPr>
              <w:t>金属表面处理：1、氯化氢、硫酸雾排放浓度不超过10mg/m</w:t>
            </w:r>
            <w:r>
              <w:rPr>
                <w:rFonts w:hint="eastAsia"/>
                <w:kern w:val="0"/>
                <w:sz w:val="20"/>
                <w:vertAlign w:val="superscript"/>
              </w:rPr>
              <w:t>3</w:t>
            </w:r>
            <w:r>
              <w:rPr>
                <w:rFonts w:hint="eastAsia"/>
                <w:kern w:val="0"/>
                <w:sz w:val="20"/>
              </w:rPr>
              <w:t>；铬酸雾排放浓度不超过0.05mg/m</w:t>
            </w:r>
            <w:r>
              <w:rPr>
                <w:rFonts w:hint="eastAsia"/>
                <w:kern w:val="0"/>
                <w:sz w:val="20"/>
                <w:vertAlign w:val="superscript"/>
              </w:rPr>
              <w:t>3</w:t>
            </w:r>
            <w:r>
              <w:rPr>
                <w:rFonts w:hint="eastAsia"/>
                <w:kern w:val="0"/>
                <w:sz w:val="20"/>
              </w:rPr>
              <w:t>；氰化氢排放浓度不超过0.5mg/m</w:t>
            </w:r>
            <w:r>
              <w:rPr>
                <w:rFonts w:hint="eastAsia"/>
                <w:kern w:val="0"/>
                <w:sz w:val="20"/>
                <w:vertAlign w:val="superscript"/>
              </w:rPr>
              <w:t>3</w:t>
            </w:r>
            <w:r>
              <w:rPr>
                <w:rFonts w:hint="eastAsia"/>
                <w:kern w:val="0"/>
                <w:sz w:val="20"/>
              </w:rPr>
              <w:t>；氟化物排放浓度不超过5mg/m</w:t>
            </w:r>
            <w:r>
              <w:rPr>
                <w:rFonts w:hint="eastAsia"/>
                <w:kern w:val="0"/>
                <w:sz w:val="20"/>
                <w:vertAlign w:val="superscript"/>
              </w:rPr>
              <w:t>3</w:t>
            </w:r>
            <w:r>
              <w:rPr>
                <w:rFonts w:hint="eastAsia"/>
                <w:kern w:val="0"/>
                <w:sz w:val="20"/>
              </w:rPr>
              <w:t>；NO</w:t>
            </w:r>
            <w:r>
              <w:rPr>
                <w:rFonts w:hint="eastAsia"/>
                <w:i/>
                <w:iCs/>
                <w:kern w:val="0"/>
                <w:sz w:val="20"/>
                <w:vertAlign w:val="subscript"/>
              </w:rPr>
              <w:t>x</w:t>
            </w:r>
            <w:r>
              <w:rPr>
                <w:rFonts w:hint="eastAsia"/>
                <w:kern w:val="0"/>
                <w:sz w:val="20"/>
              </w:rPr>
              <w:t>排放浓度不超过150mg/m</w:t>
            </w:r>
            <w:r>
              <w:rPr>
                <w:rFonts w:hint="eastAsia"/>
                <w:kern w:val="0"/>
                <w:sz w:val="20"/>
                <w:vertAlign w:val="superscript"/>
              </w:rPr>
              <w:t>3</w:t>
            </w:r>
            <w:r>
              <w:rPr>
                <w:rFonts w:hint="eastAsia"/>
                <w:kern w:val="0"/>
                <w:sz w:val="20"/>
              </w:rPr>
              <w:t>。</w:t>
            </w:r>
          </w:p>
          <w:p>
            <w:pPr>
              <w:overflowPunct w:val="0"/>
              <w:topLinePunct/>
              <w:spacing w:line="340" w:lineRule="exact"/>
              <w:rPr>
                <w:kern w:val="0"/>
                <w:sz w:val="20"/>
              </w:rPr>
            </w:pPr>
            <w:r>
              <w:rPr>
                <w:rFonts w:hint="eastAsia"/>
                <w:kern w:val="0"/>
                <w:sz w:val="20"/>
              </w:rPr>
              <w:t>2、油雾废气（以非甲烷总烃计）有组织排放限值要求：排放浓度不超过40mg/m</w:t>
            </w:r>
            <w:r>
              <w:rPr>
                <w:rFonts w:hint="eastAsia"/>
                <w:kern w:val="0"/>
                <w:sz w:val="20"/>
                <w:vertAlign w:val="superscript"/>
              </w:rPr>
              <w:t>3</w:t>
            </w:r>
            <w:r>
              <w:rPr>
                <w:rFonts w:hint="eastAsia"/>
                <w:kern w:val="0"/>
                <w:sz w:val="20"/>
              </w:rPr>
              <w:t>。</w:t>
            </w:r>
          </w:p>
          <w:p>
            <w:pPr>
              <w:overflowPunct w:val="0"/>
              <w:topLinePunct/>
              <w:spacing w:line="340" w:lineRule="exact"/>
              <w:rPr>
                <w:kern w:val="0"/>
                <w:sz w:val="20"/>
              </w:rPr>
            </w:pPr>
            <w:r>
              <w:rPr>
                <w:rFonts w:hint="eastAsia"/>
                <w:kern w:val="0"/>
                <w:sz w:val="20"/>
              </w:rPr>
              <w:t>3、同A级第3条要求。</w:t>
            </w:r>
          </w:p>
          <w:p>
            <w:pPr>
              <w:overflowPunct w:val="0"/>
              <w:topLinePunct/>
              <w:spacing w:line="340" w:lineRule="exact"/>
              <w:rPr>
                <w:kern w:val="0"/>
                <w:sz w:val="20"/>
              </w:rPr>
            </w:pPr>
            <w:r>
              <w:rPr>
                <w:rFonts w:hint="eastAsia"/>
                <w:kern w:val="0"/>
                <w:sz w:val="20"/>
              </w:rPr>
              <w:t>4、同A级第4条要求。</w:t>
            </w:r>
          </w:p>
        </w:tc>
        <w:tc>
          <w:tcPr>
            <w:tcW w:w="696"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21"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监测监控水平</w:t>
            </w:r>
          </w:p>
        </w:tc>
        <w:tc>
          <w:tcPr>
            <w:tcW w:w="3882" w:type="pct"/>
            <w:gridSpan w:val="3"/>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40" w:lineRule="exact"/>
              <w:rPr>
                <w:kern w:val="0"/>
                <w:sz w:val="20"/>
              </w:rPr>
            </w:pPr>
            <w:r>
              <w:rPr>
                <w:rFonts w:hint="eastAsia"/>
                <w:kern w:val="0"/>
                <w:sz w:val="20"/>
              </w:rPr>
              <w:t>1、重点排污单位及排污许可重点管理单位主要排</w:t>
            </w:r>
            <w:r>
              <w:rPr>
                <w:rFonts w:hint="eastAsia"/>
                <w:kern w:val="0"/>
                <w:sz w:val="20"/>
                <w:lang w:eastAsia="zh-CN"/>
              </w:rPr>
              <w:t>放</w:t>
            </w:r>
            <w:r>
              <w:rPr>
                <w:rFonts w:hint="eastAsia"/>
                <w:kern w:val="0"/>
                <w:sz w:val="20"/>
              </w:rPr>
              <w:t>口安装污染物排放自动监测设备（CEMS），并与生态环境主管部门的监控设备联网，数据保存一年以上（投产或安装时间不满一年的企业，以现有数据为准）。</w:t>
            </w:r>
          </w:p>
          <w:p>
            <w:pPr>
              <w:tabs>
                <w:tab w:val="left" w:pos="267"/>
              </w:tabs>
              <w:overflowPunct w:val="0"/>
              <w:topLinePunct/>
              <w:spacing w:line="340" w:lineRule="exact"/>
              <w:rPr>
                <w:kern w:val="0"/>
                <w:sz w:val="20"/>
              </w:rPr>
            </w:pPr>
            <w:r>
              <w:rPr>
                <w:rFonts w:hint="eastAsia"/>
                <w:kern w:val="0"/>
                <w:sz w:val="20"/>
              </w:rPr>
              <w:t>2、按照排污许可证、行业自行监测指南或排污单位自行监测技术指南等相关要求开展自行监测。</w:t>
            </w:r>
          </w:p>
          <w:p>
            <w:pPr>
              <w:tabs>
                <w:tab w:val="left" w:pos="267"/>
              </w:tabs>
              <w:overflowPunct w:val="0"/>
              <w:topLinePunct/>
              <w:spacing w:line="340" w:lineRule="exact"/>
              <w:ind w:left="0"/>
              <w:rPr>
                <w:kern w:val="0"/>
                <w:sz w:val="20"/>
              </w:rPr>
            </w:pPr>
            <w:r>
              <w:rPr>
                <w:rFonts w:hint="eastAsia"/>
                <w:kern w:val="0"/>
                <w:sz w:val="20"/>
              </w:rPr>
              <w:t>3、厂内</w:t>
            </w:r>
            <w:r>
              <w:rPr>
                <w:rFonts w:hint="eastAsia"/>
                <w:kern w:val="0"/>
                <w:sz w:val="20"/>
                <w:lang w:eastAsia="zh-CN"/>
              </w:rPr>
              <w:t>货运进出口、易产尘点</w:t>
            </w:r>
            <w:r>
              <w:rPr>
                <w:rFonts w:hint="eastAsia"/>
                <w:kern w:val="0"/>
                <w:sz w:val="20"/>
              </w:rPr>
              <w:t>安装高清视频监控系统，视频监控数据保存3个月以上。</w:t>
            </w:r>
          </w:p>
          <w:p>
            <w:pPr>
              <w:tabs>
                <w:tab w:val="left" w:pos="267"/>
              </w:tabs>
              <w:overflowPunct w:val="0"/>
              <w:topLinePunct/>
              <w:spacing w:line="340" w:lineRule="exact"/>
              <w:ind w:left="0"/>
              <w:rPr>
                <w:kern w:val="0"/>
                <w:sz w:val="20"/>
              </w:rPr>
            </w:pPr>
            <w:r>
              <w:rPr>
                <w:rFonts w:hint="eastAsia"/>
                <w:kern w:val="0"/>
                <w:sz w:val="20"/>
                <w:lang w:val="en-US" w:eastAsia="zh-CN"/>
              </w:rPr>
              <w:t>4</w:t>
            </w:r>
            <w:r>
              <w:rPr>
                <w:rFonts w:hint="eastAsia"/>
                <w:kern w:val="0"/>
                <w:sz w:val="20"/>
              </w:rPr>
              <w:t>、企业主要环保设施及生产设施安装分布式控制系统（DCS）或可保存和查看历史数据的可编程控制系统（PLC），记录企业环保设施运行及相关生产过程主要参数，数据保存一年以上。</w:t>
            </w:r>
          </w:p>
        </w:tc>
        <w:tc>
          <w:tcPr>
            <w:tcW w:w="696"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8" w:hRule="atLeast"/>
        </w:trPr>
        <w:tc>
          <w:tcPr>
            <w:tcW w:w="421"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环境管理水平</w:t>
            </w:r>
          </w:p>
        </w:tc>
        <w:tc>
          <w:tcPr>
            <w:tcW w:w="4578" w:type="pct"/>
            <w:gridSpan w:val="4"/>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环保档案：1、环评批复文件和竣工环保验收文件或者环境现状评估备案证明；2、排污许可证或固定污染物源排污登记回执；3、环境管理制度（有组织、无组织排放长效管理机制，主要包括岗位责任制度、达标公示制度和定期巡查维护制度等）；4、废气治理设施运行管理规程；5、一年内废气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21"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p>
        </w:tc>
        <w:tc>
          <w:tcPr>
            <w:tcW w:w="3882" w:type="pct"/>
            <w:gridSpan w:val="3"/>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rPr>
                <w:kern w:val="0"/>
                <w:sz w:val="20"/>
              </w:rPr>
            </w:pPr>
            <w:r>
              <w:rPr>
                <w:rFonts w:hint="eastAsia"/>
                <w:kern w:val="0"/>
                <w:sz w:val="20"/>
              </w:rPr>
              <w:t>台账记录：1、生产设施运行管理信息（生产时间、运行负荷、产品产量等）；2、废气污染治理设施运行管理信息；3、监测记录信息（主要污染排放口废气排放记录等）；4、主要原辅材料消耗记录；5、燃料消耗记录；6、一般固废、危废处理记录。</w:t>
            </w:r>
          </w:p>
        </w:tc>
        <w:tc>
          <w:tcPr>
            <w:tcW w:w="696"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21"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p>
        </w:tc>
        <w:tc>
          <w:tcPr>
            <w:tcW w:w="3882" w:type="pct"/>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人员配置：配备专职环保人员，并具备相应的环境管理能力（学历、培训、从业经验等）</w:t>
            </w:r>
          </w:p>
        </w:tc>
        <w:tc>
          <w:tcPr>
            <w:tcW w:w="696"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21"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运输方式</w:t>
            </w:r>
          </w:p>
        </w:tc>
        <w:tc>
          <w:tcPr>
            <w:tcW w:w="1817"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ind w:left="0"/>
              <w:rPr>
                <w:kern w:val="0"/>
                <w:sz w:val="20"/>
              </w:rPr>
            </w:pPr>
            <w:r>
              <w:rPr>
                <w:rFonts w:hint="eastAsia"/>
                <w:kern w:val="0"/>
                <w:sz w:val="20"/>
              </w:rPr>
              <w:t>1、物料、产品公路运输全部使用国五及以上排放标准重型载货车辆（含燃气）或新能源车辆等清洁运输方式。</w:t>
            </w:r>
          </w:p>
          <w:p>
            <w:pPr>
              <w:tabs>
                <w:tab w:val="left" w:pos="267"/>
              </w:tabs>
              <w:overflowPunct w:val="0"/>
              <w:topLinePunct/>
              <w:spacing w:line="320" w:lineRule="exact"/>
              <w:ind w:left="0"/>
              <w:rPr>
                <w:kern w:val="0"/>
                <w:sz w:val="20"/>
              </w:rPr>
            </w:pPr>
            <w:r>
              <w:rPr>
                <w:rFonts w:hint="eastAsia"/>
                <w:kern w:val="0"/>
                <w:sz w:val="20"/>
              </w:rPr>
              <w:t>2、厂内运输车辆全部达到国五及以上排放标准（含燃气）或使用新能源车辆。</w:t>
            </w:r>
          </w:p>
          <w:p>
            <w:pPr>
              <w:tabs>
                <w:tab w:val="left" w:pos="267"/>
              </w:tabs>
              <w:overflowPunct w:val="0"/>
              <w:topLinePunct/>
              <w:spacing w:line="320" w:lineRule="exact"/>
              <w:ind w:left="0"/>
              <w:rPr>
                <w:kern w:val="0"/>
                <w:sz w:val="20"/>
              </w:rPr>
            </w:pPr>
            <w:r>
              <w:rPr>
                <w:rFonts w:hint="eastAsia"/>
                <w:kern w:val="0"/>
                <w:sz w:val="20"/>
              </w:rPr>
              <w:t>3、厂内非道路移动机械全部达到国三及以上排放标准或使用新能源机械。</w:t>
            </w:r>
          </w:p>
        </w:tc>
        <w:tc>
          <w:tcPr>
            <w:tcW w:w="2064"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ind w:left="0"/>
              <w:rPr>
                <w:kern w:val="0"/>
                <w:sz w:val="20"/>
              </w:rPr>
            </w:pPr>
            <w:r>
              <w:rPr>
                <w:rFonts w:hint="eastAsia"/>
                <w:kern w:val="0"/>
                <w:sz w:val="20"/>
              </w:rPr>
              <w:t>1、物料、产品公路运输使用国五及以上排放标准重型载货车辆（含燃气）或新能源车辆等清洁运输方式的比例不低于80%。</w:t>
            </w:r>
          </w:p>
          <w:p>
            <w:pPr>
              <w:tabs>
                <w:tab w:val="left" w:pos="267"/>
              </w:tabs>
              <w:overflowPunct w:val="0"/>
              <w:topLinePunct/>
              <w:spacing w:line="320" w:lineRule="exact"/>
              <w:ind w:left="0"/>
              <w:rPr>
                <w:kern w:val="0"/>
                <w:sz w:val="20"/>
              </w:rPr>
            </w:pPr>
            <w:r>
              <w:rPr>
                <w:rFonts w:hint="eastAsia"/>
                <w:kern w:val="0"/>
                <w:sz w:val="20"/>
              </w:rPr>
              <w:t>2、厂内运输车辆达到国五及以上排放标准（含燃气）或使用新能源车辆比例不低于80%。</w:t>
            </w:r>
          </w:p>
          <w:p>
            <w:pPr>
              <w:tabs>
                <w:tab w:val="left" w:pos="267"/>
              </w:tabs>
              <w:overflowPunct w:val="0"/>
              <w:topLinePunct/>
              <w:spacing w:line="320" w:lineRule="exact"/>
              <w:ind w:left="0"/>
              <w:rPr>
                <w:kern w:val="0"/>
                <w:sz w:val="20"/>
              </w:rPr>
            </w:pPr>
            <w:r>
              <w:rPr>
                <w:rFonts w:hint="eastAsia"/>
                <w:kern w:val="0"/>
                <w:sz w:val="20"/>
              </w:rPr>
              <w:t>3、厂内非道路移动机械达到国三及以上排放标准或使用新能源机械比例不低于80%。</w:t>
            </w:r>
          </w:p>
        </w:tc>
        <w:tc>
          <w:tcPr>
            <w:tcW w:w="696"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21"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运输监管</w:t>
            </w:r>
          </w:p>
        </w:tc>
        <w:tc>
          <w:tcPr>
            <w:tcW w:w="388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267"/>
              </w:tabs>
              <w:kinsoku/>
              <w:wordWrap/>
              <w:overflowPunct w:val="0"/>
              <w:topLinePunct/>
              <w:autoSpaceDE/>
              <w:autoSpaceDN/>
              <w:bidi w:val="0"/>
              <w:adjustRightInd/>
              <w:snapToGrid/>
              <w:spacing w:line="320" w:lineRule="exact"/>
              <w:ind w:left="0"/>
              <w:textAlignment w:val="auto"/>
              <w:rPr>
                <w:kern w:val="0"/>
                <w:sz w:val="20"/>
              </w:rPr>
            </w:pPr>
            <w:r>
              <w:rPr>
                <w:rFonts w:hint="eastAsia"/>
                <w:kern w:val="0"/>
                <w:sz w:val="20"/>
                <w:lang w:eastAsia="zh-CN"/>
              </w:rPr>
              <w:t>建立门禁系统和电子台账，创建要求参照《重点行业移动源监管与核查技术指南》（</w:t>
            </w:r>
            <w:r>
              <w:rPr>
                <w:rFonts w:hint="eastAsia"/>
                <w:kern w:val="0"/>
                <w:sz w:val="20"/>
                <w:lang w:val="en-US" w:eastAsia="zh-CN"/>
              </w:rPr>
              <w:t>HJ 1321</w:t>
            </w:r>
            <w:r>
              <w:rPr>
                <w:rFonts w:hint="eastAsia"/>
                <w:kern w:val="0"/>
                <w:sz w:val="20"/>
                <w:lang w:eastAsia="zh-CN"/>
              </w:rPr>
              <w:t>）</w:t>
            </w:r>
            <w:r>
              <w:rPr>
                <w:rFonts w:hint="eastAsia"/>
                <w:kern w:val="0"/>
                <w:sz w:val="20"/>
              </w:rPr>
              <w:t>。</w:t>
            </w:r>
          </w:p>
        </w:tc>
        <w:tc>
          <w:tcPr>
            <w:tcW w:w="696"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未达到A、B级要求。</w:t>
            </w:r>
          </w:p>
        </w:tc>
      </w:tr>
    </w:tbl>
    <w:p>
      <w:pPr>
        <w:overflowPunct w:val="0"/>
        <w:topLinePunct/>
        <w:jc w:val="center"/>
        <w:sectPr>
          <w:headerReference r:id="rId7" w:type="default"/>
          <w:footerReference r:id="rId9" w:type="default"/>
          <w:headerReference r:id="rId8" w:type="even"/>
          <w:footerReference r:id="rId10" w:type="even"/>
          <w:pgSz w:w="16840" w:h="11910" w:orient="landscape"/>
          <w:pgMar w:top="1588" w:right="2098" w:bottom="1474" w:left="1247" w:header="851" w:footer="992" w:gutter="0"/>
          <w:cols w:space="720" w:num="1"/>
        </w:sectPr>
      </w:pPr>
    </w:p>
    <w:p>
      <w:pPr>
        <w:overflowPunct w:val="0"/>
        <w:topLinePunct/>
        <w:spacing w:line="460" w:lineRule="exact"/>
        <w:ind w:firstLine="576" w:firstLineChars="200"/>
        <w:outlineLvl w:val="2"/>
        <w:rPr>
          <w:rFonts w:eastAsia="楷体_GB2312"/>
          <w:kern w:val="0"/>
          <w:sz w:val="30"/>
          <w:szCs w:val="30"/>
        </w:rPr>
      </w:pPr>
      <w:bookmarkStart w:id="10" w:name="_Toc166"/>
      <w:bookmarkStart w:id="11" w:name="_Toc121413324"/>
      <w:r>
        <w:rPr>
          <w:rFonts w:eastAsia="楷体_GB2312"/>
          <w:kern w:val="0"/>
          <w:sz w:val="30"/>
          <w:szCs w:val="30"/>
        </w:rPr>
        <w:t>（五）减排措施</w:t>
      </w:r>
      <w:bookmarkEnd w:id="10"/>
      <w:bookmarkEnd w:id="11"/>
    </w:p>
    <w:p>
      <w:pPr>
        <w:tabs>
          <w:tab w:val="left" w:pos="1733"/>
        </w:tabs>
        <w:overflowPunct w:val="0"/>
        <w:topLinePunct/>
        <w:spacing w:line="460" w:lineRule="exact"/>
        <w:ind w:firstLine="600" w:firstLineChars="200"/>
        <w:rPr>
          <w:spacing w:val="0"/>
          <w:sz w:val="30"/>
          <w:szCs w:val="30"/>
        </w:rPr>
      </w:pPr>
      <w:r>
        <w:rPr>
          <w:spacing w:val="0"/>
          <w:sz w:val="30"/>
          <w:szCs w:val="30"/>
        </w:rPr>
        <w:t>1、A级企业</w:t>
      </w:r>
    </w:p>
    <w:p>
      <w:pPr>
        <w:tabs>
          <w:tab w:val="left" w:pos="1733"/>
        </w:tabs>
        <w:overflowPunct w:val="0"/>
        <w:topLinePunct/>
        <w:spacing w:line="460" w:lineRule="exact"/>
        <w:ind w:firstLine="600" w:firstLineChars="200"/>
        <w:rPr>
          <w:spacing w:val="0"/>
          <w:sz w:val="30"/>
          <w:szCs w:val="30"/>
        </w:rPr>
      </w:pPr>
      <w:r>
        <w:rPr>
          <w:spacing w:val="0"/>
          <w:sz w:val="30"/>
          <w:szCs w:val="30"/>
        </w:rPr>
        <w:t>鼓励结合实际，自主采取减排措施。</w:t>
      </w:r>
    </w:p>
    <w:p>
      <w:pPr>
        <w:tabs>
          <w:tab w:val="left" w:pos="1733"/>
        </w:tabs>
        <w:overflowPunct w:val="0"/>
        <w:topLinePunct/>
        <w:spacing w:line="460" w:lineRule="exact"/>
        <w:ind w:firstLine="600" w:firstLineChars="200"/>
        <w:rPr>
          <w:spacing w:val="0"/>
          <w:sz w:val="30"/>
          <w:szCs w:val="30"/>
        </w:rPr>
      </w:pPr>
      <w:r>
        <w:rPr>
          <w:spacing w:val="0"/>
          <w:sz w:val="30"/>
          <w:szCs w:val="30"/>
        </w:rPr>
        <w:t>2、B级企业</w:t>
      </w:r>
    </w:p>
    <w:p>
      <w:pPr>
        <w:tabs>
          <w:tab w:val="left" w:pos="1733"/>
        </w:tabs>
        <w:overflowPunct w:val="0"/>
        <w:topLinePunct/>
        <w:spacing w:line="460" w:lineRule="exact"/>
        <w:ind w:firstLine="600" w:firstLineChars="200"/>
        <w:rPr>
          <w:spacing w:val="0"/>
          <w:sz w:val="30"/>
          <w:szCs w:val="30"/>
        </w:rPr>
      </w:pPr>
      <w:r>
        <w:rPr>
          <w:spacing w:val="0"/>
          <w:sz w:val="30"/>
          <w:szCs w:val="30"/>
        </w:rPr>
        <w:t>黄色预警期间：停止使用国四及以下重型载货车辆（含燃气）进行物料运输。</w:t>
      </w:r>
    </w:p>
    <w:p>
      <w:pPr>
        <w:tabs>
          <w:tab w:val="left" w:pos="1733"/>
        </w:tabs>
        <w:overflowPunct w:val="0"/>
        <w:topLinePunct/>
        <w:spacing w:line="460" w:lineRule="exact"/>
        <w:ind w:firstLine="600" w:firstLineChars="200"/>
        <w:rPr>
          <w:spacing w:val="0"/>
          <w:sz w:val="30"/>
          <w:szCs w:val="30"/>
        </w:rPr>
      </w:pPr>
      <w:r>
        <w:rPr>
          <w:spacing w:val="0"/>
          <w:sz w:val="30"/>
          <w:szCs w:val="30"/>
        </w:rPr>
        <w:t>橙色预警期间：涉气工序</w:t>
      </w:r>
      <w:r>
        <w:rPr>
          <w:rFonts w:hint="eastAsia"/>
          <w:spacing w:val="0"/>
          <w:sz w:val="30"/>
          <w:szCs w:val="30"/>
        </w:rPr>
        <w:t>限</w:t>
      </w:r>
      <w:r>
        <w:rPr>
          <w:spacing w:val="0"/>
          <w:sz w:val="30"/>
          <w:szCs w:val="30"/>
        </w:rPr>
        <w:t>产50%，以生产线计；停止使用国四及以下重型载货车辆（含燃气）进行物料运输。</w:t>
      </w:r>
    </w:p>
    <w:p>
      <w:pPr>
        <w:tabs>
          <w:tab w:val="left" w:pos="1733"/>
        </w:tabs>
        <w:overflowPunct w:val="0"/>
        <w:topLinePunct/>
        <w:spacing w:line="460" w:lineRule="exact"/>
        <w:ind w:firstLine="600" w:firstLineChars="200"/>
        <w:rPr>
          <w:spacing w:val="0"/>
          <w:sz w:val="30"/>
          <w:szCs w:val="30"/>
        </w:rPr>
      </w:pPr>
      <w:r>
        <w:rPr>
          <w:spacing w:val="0"/>
          <w:sz w:val="30"/>
          <w:szCs w:val="30"/>
        </w:rPr>
        <w:t>红色预警期间：涉气工序</w:t>
      </w:r>
      <w:r>
        <w:rPr>
          <w:rFonts w:hint="eastAsia"/>
          <w:spacing w:val="0"/>
          <w:sz w:val="30"/>
          <w:szCs w:val="30"/>
          <w:lang w:val="en-US" w:eastAsia="zh-Hans"/>
        </w:rPr>
        <w:t>停产</w:t>
      </w:r>
      <w:r>
        <w:rPr>
          <w:spacing w:val="0"/>
          <w:sz w:val="30"/>
          <w:szCs w:val="30"/>
        </w:rPr>
        <w:t>；停止使用国四及以下重型载货车辆（含燃气）进行物料运输。</w:t>
      </w:r>
    </w:p>
    <w:p>
      <w:pPr>
        <w:tabs>
          <w:tab w:val="left" w:pos="1733"/>
        </w:tabs>
        <w:overflowPunct w:val="0"/>
        <w:topLinePunct/>
        <w:spacing w:line="460" w:lineRule="exact"/>
        <w:ind w:firstLine="600" w:firstLineChars="200"/>
        <w:rPr>
          <w:spacing w:val="0"/>
          <w:sz w:val="30"/>
          <w:szCs w:val="30"/>
        </w:rPr>
      </w:pPr>
      <w:r>
        <w:rPr>
          <w:spacing w:val="0"/>
          <w:sz w:val="30"/>
          <w:szCs w:val="30"/>
        </w:rPr>
        <w:t>3、C级企业</w:t>
      </w:r>
    </w:p>
    <w:p>
      <w:pPr>
        <w:tabs>
          <w:tab w:val="left" w:pos="1733"/>
        </w:tabs>
        <w:overflowPunct w:val="0"/>
        <w:topLinePunct/>
        <w:spacing w:line="460" w:lineRule="exact"/>
        <w:ind w:firstLine="600" w:firstLineChars="200"/>
        <w:rPr>
          <w:spacing w:val="0"/>
          <w:sz w:val="30"/>
          <w:szCs w:val="30"/>
        </w:rPr>
      </w:pPr>
      <w:r>
        <w:rPr>
          <w:spacing w:val="0"/>
          <w:sz w:val="30"/>
          <w:szCs w:val="30"/>
        </w:rPr>
        <w:t>黄色预警期间：涉气工序限产50%，以生产线计；停止使用国四及以下重型载货车辆（含燃气）进行物料运输</w:t>
      </w:r>
    </w:p>
    <w:p>
      <w:pPr>
        <w:tabs>
          <w:tab w:val="left" w:pos="1733"/>
        </w:tabs>
        <w:overflowPunct w:val="0"/>
        <w:topLinePunct/>
        <w:spacing w:line="460" w:lineRule="exact"/>
        <w:ind w:firstLine="600" w:firstLineChars="200"/>
        <w:rPr>
          <w:spacing w:val="0"/>
          <w:sz w:val="30"/>
          <w:szCs w:val="30"/>
        </w:rPr>
      </w:pPr>
      <w:r>
        <w:rPr>
          <w:spacing w:val="0"/>
          <w:sz w:val="30"/>
          <w:szCs w:val="30"/>
        </w:rPr>
        <w:t>橙色和红色预警期间：涉气工序停产；停止使用国四及以下重型载货车辆（含燃气）进行物料运输。</w:t>
      </w:r>
    </w:p>
    <w:p>
      <w:pPr>
        <w:tabs>
          <w:tab w:val="left" w:pos="1733"/>
        </w:tabs>
        <w:overflowPunct w:val="0"/>
        <w:topLinePunct/>
        <w:spacing w:line="460" w:lineRule="exact"/>
        <w:ind w:firstLine="600" w:firstLineChars="200"/>
        <w:rPr>
          <w:spacing w:val="0"/>
          <w:sz w:val="30"/>
          <w:szCs w:val="30"/>
        </w:rPr>
      </w:pPr>
      <w:r>
        <w:rPr>
          <w:spacing w:val="0"/>
          <w:sz w:val="30"/>
          <w:szCs w:val="30"/>
        </w:rPr>
        <w:t>4、备注</w:t>
      </w:r>
    </w:p>
    <w:p>
      <w:pPr>
        <w:tabs>
          <w:tab w:val="left" w:pos="1733"/>
        </w:tabs>
        <w:overflowPunct w:val="0"/>
        <w:topLinePunct/>
        <w:spacing w:line="460" w:lineRule="exact"/>
        <w:ind w:firstLine="600" w:firstLineChars="200"/>
        <w:rPr>
          <w:spacing w:val="0"/>
          <w:sz w:val="30"/>
          <w:szCs w:val="30"/>
        </w:rPr>
      </w:pPr>
      <w:r>
        <w:rPr>
          <w:spacing w:val="0"/>
          <w:sz w:val="30"/>
          <w:szCs w:val="30"/>
        </w:rPr>
        <w:t>针对短时间内难以停产的热处理工序，建议在重污染频发的秋冬季期间，提前调整生产计划，确保预警期间企业能够落实相应减排措施。</w:t>
      </w:r>
    </w:p>
    <w:p>
      <w:pPr>
        <w:overflowPunct w:val="0"/>
        <w:topLinePunct/>
        <w:spacing w:line="460" w:lineRule="exact"/>
        <w:ind w:firstLine="576" w:firstLineChars="200"/>
        <w:outlineLvl w:val="2"/>
        <w:rPr>
          <w:rFonts w:eastAsia="楷体_GB2312"/>
          <w:spacing w:val="-6"/>
          <w:kern w:val="0"/>
          <w:sz w:val="30"/>
          <w:szCs w:val="30"/>
        </w:rPr>
      </w:pPr>
      <w:bookmarkStart w:id="12" w:name="_Toc24107"/>
      <w:r>
        <w:rPr>
          <w:rFonts w:hint="default" w:eastAsia="楷体_GB2312"/>
          <w:spacing w:val="-6"/>
          <w:kern w:val="0"/>
          <w:sz w:val="30"/>
          <w:szCs w:val="30"/>
          <w:lang w:eastAsia="zh-CN"/>
        </w:rPr>
        <w:t>（六）</w:t>
      </w:r>
      <w:r>
        <w:rPr>
          <w:rFonts w:eastAsia="楷体_GB2312"/>
          <w:spacing w:val="-6"/>
          <w:kern w:val="0"/>
          <w:sz w:val="30"/>
          <w:szCs w:val="30"/>
        </w:rPr>
        <w:t>核查方法</w:t>
      </w:r>
      <w:bookmarkEnd w:id="12"/>
    </w:p>
    <w:p>
      <w:pPr>
        <w:tabs>
          <w:tab w:val="left" w:pos="1733"/>
        </w:tabs>
        <w:overflowPunct w:val="0"/>
        <w:topLinePunct/>
        <w:spacing w:line="460" w:lineRule="exact"/>
        <w:ind w:firstLine="600" w:firstLineChars="200"/>
        <w:rPr>
          <w:spacing w:val="0"/>
          <w:sz w:val="30"/>
          <w:szCs w:val="30"/>
        </w:rPr>
      </w:pPr>
      <w:r>
        <w:rPr>
          <w:rFonts w:hint="eastAsia"/>
          <w:spacing w:val="0"/>
          <w:sz w:val="30"/>
          <w:szCs w:val="30"/>
          <w:lang w:val="en-US" w:eastAsia="zh-CN"/>
        </w:rPr>
        <w:t>1、</w:t>
      </w:r>
      <w:r>
        <w:rPr>
          <w:spacing w:val="0"/>
          <w:sz w:val="30"/>
          <w:szCs w:val="30"/>
        </w:rPr>
        <w:t>电量分析：调取企业用电量情况，</w:t>
      </w:r>
      <w:r>
        <w:rPr>
          <w:rFonts w:hint="eastAsia"/>
          <w:spacing w:val="0"/>
          <w:sz w:val="30"/>
          <w:szCs w:val="30"/>
          <w:lang w:eastAsia="zh-CN"/>
        </w:rPr>
        <w:t>分析历史预警前后</w:t>
      </w:r>
      <w:r>
        <w:rPr>
          <w:spacing w:val="0"/>
          <w:sz w:val="30"/>
          <w:szCs w:val="30"/>
        </w:rPr>
        <w:t>电量变化，比对采取减排措施期间的用电量是否有明显下降。</w:t>
      </w:r>
    </w:p>
    <w:p>
      <w:pPr>
        <w:tabs>
          <w:tab w:val="left" w:pos="1733"/>
        </w:tabs>
        <w:overflowPunct w:val="0"/>
        <w:topLinePunct/>
        <w:spacing w:line="460" w:lineRule="exact"/>
        <w:ind w:firstLine="600" w:firstLineChars="200"/>
        <w:rPr>
          <w:spacing w:val="0"/>
          <w:sz w:val="30"/>
          <w:szCs w:val="30"/>
        </w:rPr>
      </w:pPr>
      <w:r>
        <w:rPr>
          <w:rFonts w:hint="eastAsia"/>
          <w:spacing w:val="0"/>
          <w:sz w:val="30"/>
          <w:szCs w:val="30"/>
          <w:lang w:val="en-US" w:eastAsia="zh-CN"/>
        </w:rPr>
        <w:t>2、</w:t>
      </w:r>
      <w:r>
        <w:rPr>
          <w:spacing w:val="0"/>
          <w:sz w:val="30"/>
          <w:szCs w:val="30"/>
        </w:rPr>
        <w:t>现场核查：检查除油、酸洗、电镀、钝化、烘干、热处理等工序是否停限产。</w:t>
      </w:r>
    </w:p>
    <w:p>
      <w:pPr>
        <w:tabs>
          <w:tab w:val="left" w:pos="1733"/>
        </w:tabs>
        <w:overflowPunct w:val="0"/>
        <w:topLinePunct/>
        <w:spacing w:line="460" w:lineRule="exact"/>
        <w:ind w:firstLine="600" w:firstLineChars="200"/>
        <w:rPr>
          <w:spacing w:val="0"/>
          <w:sz w:val="30"/>
          <w:szCs w:val="30"/>
        </w:rPr>
      </w:pPr>
      <w:r>
        <w:rPr>
          <w:rFonts w:hint="eastAsia"/>
          <w:spacing w:val="0"/>
          <w:sz w:val="30"/>
          <w:szCs w:val="30"/>
          <w:lang w:val="en-US" w:eastAsia="zh-CN"/>
        </w:rPr>
        <w:t>3、</w:t>
      </w:r>
      <w:r>
        <w:rPr>
          <w:spacing w:val="0"/>
          <w:sz w:val="30"/>
          <w:szCs w:val="30"/>
        </w:rPr>
        <w:t>台账核查：重点核查生产设施开停机记录表，对比预警前后设备运行情况；核查企业生产台账记录，检查生产报表及产品入库台账，核查应急响应期间产品产量是否与限产要求一致；检查天然气等能源台账，查看使用量是否有明显下降。</w:t>
      </w:r>
    </w:p>
    <w:p>
      <w:pPr>
        <w:tabs>
          <w:tab w:val="left" w:pos="1733"/>
        </w:tabs>
        <w:overflowPunct w:val="0"/>
        <w:topLinePunct/>
        <w:spacing w:line="460" w:lineRule="exact"/>
        <w:ind w:firstLine="600" w:firstLineChars="200"/>
        <w:rPr>
          <w:rFonts w:eastAsia="等线"/>
          <w:spacing w:val="0"/>
          <w:sz w:val="28"/>
          <w:szCs w:val="28"/>
        </w:rPr>
      </w:pPr>
      <w:r>
        <w:rPr>
          <w:rFonts w:hint="eastAsia"/>
          <w:spacing w:val="0"/>
          <w:sz w:val="30"/>
          <w:szCs w:val="30"/>
          <w:lang w:val="en-US" w:eastAsia="zh-CN"/>
        </w:rPr>
        <w:t>4、</w:t>
      </w:r>
      <w:r>
        <w:rPr>
          <w:spacing w:val="0"/>
          <w:sz w:val="30"/>
          <w:szCs w:val="30"/>
        </w:rPr>
        <w:t>运输核查：调取厂区</w:t>
      </w:r>
      <w:r>
        <w:rPr>
          <w:sz w:val="30"/>
          <w:szCs w:val="30"/>
        </w:rPr>
        <w:t>货运进出口视频监控</w:t>
      </w:r>
      <w:r>
        <w:rPr>
          <w:spacing w:val="0"/>
          <w:sz w:val="30"/>
          <w:szCs w:val="30"/>
        </w:rPr>
        <w:t>记录，比对预警前后厂区</w:t>
      </w:r>
      <w:r>
        <w:rPr>
          <w:rFonts w:hint="eastAsia"/>
          <w:spacing w:val="0"/>
          <w:sz w:val="30"/>
          <w:szCs w:val="30"/>
          <w:lang w:eastAsia="zh-CN"/>
        </w:rPr>
        <w:t>汽车运输情况，检查</w:t>
      </w:r>
      <w:r>
        <w:rPr>
          <w:spacing w:val="0"/>
          <w:sz w:val="30"/>
          <w:szCs w:val="30"/>
        </w:rPr>
        <w:t>是否符合要求；现场抽查运输车辆</w:t>
      </w:r>
      <w:r>
        <w:rPr>
          <w:rFonts w:hint="eastAsia"/>
          <w:spacing w:val="0"/>
          <w:sz w:val="30"/>
          <w:szCs w:val="30"/>
          <w:lang w:eastAsia="zh-CN"/>
        </w:rPr>
        <w:t>，</w:t>
      </w:r>
      <w:r>
        <w:rPr>
          <w:spacing w:val="0"/>
          <w:sz w:val="30"/>
          <w:szCs w:val="30"/>
        </w:rPr>
        <w:t>核查排放</w:t>
      </w:r>
      <w:r>
        <w:rPr>
          <w:rFonts w:hint="eastAsia"/>
          <w:spacing w:val="0"/>
          <w:sz w:val="30"/>
          <w:szCs w:val="30"/>
          <w:lang w:eastAsia="zh-CN"/>
        </w:rPr>
        <w:t>标准</w:t>
      </w:r>
      <w:r>
        <w:rPr>
          <w:spacing w:val="0"/>
          <w:sz w:val="30"/>
          <w:szCs w:val="30"/>
        </w:rPr>
        <w:t>是否符合要求。</w:t>
      </w:r>
    </w:p>
    <w:p>
      <w:pPr>
        <w:overflowPunct w:val="0"/>
        <w:topLinePunct/>
        <w:spacing w:line="460" w:lineRule="exact"/>
        <w:ind w:firstLine="576" w:firstLineChars="200"/>
        <w:outlineLvl w:val="1"/>
        <w:rPr>
          <w:rFonts w:eastAsia="黑体"/>
          <w:kern w:val="0"/>
          <w:sz w:val="30"/>
          <w:szCs w:val="30"/>
        </w:rPr>
      </w:pPr>
      <w:bookmarkStart w:id="13" w:name="_Toc12125"/>
      <w:bookmarkStart w:id="14" w:name="_Toc121413325"/>
      <w:r>
        <w:rPr>
          <w:rFonts w:eastAsia="黑体"/>
          <w:kern w:val="0"/>
          <w:sz w:val="30"/>
          <w:szCs w:val="30"/>
        </w:rPr>
        <w:t>二、矿石采选与石材加工</w:t>
      </w:r>
      <w:bookmarkEnd w:id="13"/>
      <w:bookmarkEnd w:id="14"/>
    </w:p>
    <w:p>
      <w:pPr>
        <w:overflowPunct w:val="0"/>
        <w:topLinePunct/>
        <w:spacing w:line="460" w:lineRule="exact"/>
        <w:ind w:firstLine="576" w:firstLineChars="200"/>
        <w:outlineLvl w:val="2"/>
        <w:rPr>
          <w:rFonts w:eastAsia="楷体_GB2312"/>
          <w:kern w:val="0"/>
          <w:sz w:val="30"/>
          <w:szCs w:val="30"/>
        </w:rPr>
      </w:pPr>
      <w:bookmarkStart w:id="15" w:name="_Toc31733"/>
      <w:bookmarkStart w:id="16" w:name="_Toc121413326"/>
      <w:r>
        <w:rPr>
          <w:rFonts w:eastAsia="楷体_GB2312"/>
          <w:kern w:val="0"/>
          <w:sz w:val="30"/>
          <w:szCs w:val="30"/>
        </w:rPr>
        <w:t>（一）适用范围</w:t>
      </w:r>
      <w:bookmarkEnd w:id="15"/>
      <w:bookmarkEnd w:id="16"/>
    </w:p>
    <w:p>
      <w:pPr>
        <w:overflowPunct w:val="0"/>
        <w:topLinePunct/>
        <w:spacing w:line="460" w:lineRule="exact"/>
        <w:ind w:firstLine="576" w:firstLineChars="200"/>
        <w:rPr>
          <w:rFonts w:hint="eastAsia" w:eastAsia="仿宋_GB2312"/>
          <w:sz w:val="30"/>
          <w:szCs w:val="30"/>
          <w:lang w:eastAsia="zh-CN"/>
        </w:rPr>
      </w:pPr>
      <w:r>
        <w:rPr>
          <w:sz w:val="30"/>
          <w:szCs w:val="30"/>
        </w:rPr>
        <w:t>适用于《国民经济行业分类》（GB/T4754-2017）中的B08黑色金属矿采选业、B09有色金属矿采选业、B10非金属矿采选业、C3032建筑用石加工业。其中，</w:t>
      </w:r>
      <w:r>
        <w:rPr>
          <w:rFonts w:hint="eastAsia"/>
          <w:sz w:val="30"/>
          <w:szCs w:val="30"/>
          <w:lang w:eastAsia="zh-CN"/>
        </w:rPr>
        <w:t>碎石加工企业参照矿石采选行业评级，</w:t>
      </w:r>
      <w:r>
        <w:rPr>
          <w:sz w:val="30"/>
          <w:szCs w:val="30"/>
          <w:highlight w:val="none"/>
        </w:rPr>
        <w:t>石料加工、石质型材</w:t>
      </w:r>
      <w:r>
        <w:rPr>
          <w:rFonts w:hint="eastAsia"/>
          <w:sz w:val="30"/>
          <w:szCs w:val="30"/>
          <w:highlight w:val="none"/>
          <w:lang w:eastAsia="zh-CN"/>
        </w:rPr>
        <w:t>、建筑用石</w:t>
      </w:r>
      <w:r>
        <w:rPr>
          <w:sz w:val="30"/>
          <w:szCs w:val="30"/>
          <w:highlight w:val="none"/>
        </w:rPr>
        <w:t>等加工企业</w:t>
      </w:r>
      <w:r>
        <w:rPr>
          <w:rFonts w:hint="eastAsia"/>
          <w:sz w:val="30"/>
          <w:szCs w:val="30"/>
          <w:highlight w:val="none"/>
          <w:lang w:eastAsia="zh-CN"/>
        </w:rPr>
        <w:t>参照石材加工行业</w:t>
      </w:r>
      <w:r>
        <w:rPr>
          <w:sz w:val="30"/>
          <w:szCs w:val="30"/>
        </w:rPr>
        <w:t>，仅制定绩效引领性指标。</w:t>
      </w:r>
    </w:p>
    <w:p>
      <w:pPr>
        <w:overflowPunct w:val="0"/>
        <w:topLinePunct/>
        <w:spacing w:line="460" w:lineRule="exact"/>
        <w:ind w:firstLine="576" w:firstLineChars="200"/>
        <w:outlineLvl w:val="2"/>
        <w:rPr>
          <w:rFonts w:eastAsia="楷体_GB2312"/>
          <w:kern w:val="0"/>
          <w:sz w:val="30"/>
          <w:szCs w:val="30"/>
        </w:rPr>
      </w:pPr>
      <w:bookmarkStart w:id="17" w:name="_Toc121413327"/>
      <w:bookmarkStart w:id="18" w:name="_Toc7506"/>
      <w:r>
        <w:rPr>
          <w:rFonts w:eastAsia="楷体_GB2312"/>
          <w:kern w:val="0"/>
          <w:sz w:val="30"/>
          <w:szCs w:val="30"/>
        </w:rPr>
        <w:t>（二）生产工艺</w:t>
      </w:r>
      <w:bookmarkEnd w:id="17"/>
      <w:bookmarkEnd w:id="18"/>
    </w:p>
    <w:p>
      <w:pPr>
        <w:overflowPunct w:val="0"/>
        <w:topLinePunct/>
        <w:spacing w:line="460" w:lineRule="exact"/>
        <w:ind w:firstLine="576" w:firstLineChars="200"/>
        <w:rPr>
          <w:rFonts w:eastAsia="宋体"/>
          <w:sz w:val="28"/>
          <w:szCs w:val="28"/>
        </w:rPr>
      </w:pPr>
      <w:r>
        <w:rPr>
          <w:sz w:val="30"/>
          <w:szCs w:val="30"/>
        </w:rPr>
        <w:t>黑色金属采选主要包括露天开采、地下开采，破碎、筛分，磁选、浮选等工艺；有色金属矿采选主要包括露天开采、地下开采、坑采，破碎、筛分，磨浮等工艺；非金属矿采选主要包括露天开采、破碎、筛分等工艺；</w:t>
      </w:r>
      <w:r>
        <w:rPr>
          <w:rFonts w:hint="eastAsia"/>
          <w:sz w:val="30"/>
          <w:szCs w:val="30"/>
          <w:lang w:eastAsia="zh-CN"/>
        </w:rPr>
        <w:t>石材</w:t>
      </w:r>
      <w:r>
        <w:rPr>
          <w:sz w:val="30"/>
          <w:szCs w:val="30"/>
        </w:rPr>
        <w:t>加工企业主要有破碎、筛分、锯解、磨抛、裁切</w:t>
      </w:r>
      <w:r>
        <w:rPr>
          <w:rFonts w:hint="eastAsia"/>
          <w:sz w:val="30"/>
          <w:szCs w:val="30"/>
          <w:lang w:eastAsia="zh-CN"/>
        </w:rPr>
        <w:t>、施胶、干燥</w:t>
      </w:r>
      <w:r>
        <w:rPr>
          <w:sz w:val="30"/>
          <w:szCs w:val="30"/>
        </w:rPr>
        <w:t>等工序。</w:t>
      </w:r>
    </w:p>
    <w:p>
      <w:pPr>
        <w:overflowPunct w:val="0"/>
        <w:topLinePunct/>
        <w:spacing w:line="460" w:lineRule="exact"/>
        <w:ind w:firstLine="576" w:firstLineChars="200"/>
        <w:outlineLvl w:val="2"/>
        <w:rPr>
          <w:rFonts w:eastAsia="楷体_GB2312"/>
          <w:kern w:val="0"/>
          <w:sz w:val="30"/>
          <w:szCs w:val="30"/>
        </w:rPr>
      </w:pPr>
      <w:bookmarkStart w:id="19" w:name="_Toc121413328"/>
      <w:bookmarkStart w:id="20" w:name="_Toc3259"/>
      <w:r>
        <w:rPr>
          <w:rFonts w:eastAsia="楷体_GB2312"/>
          <w:kern w:val="0"/>
          <w:sz w:val="30"/>
          <w:szCs w:val="30"/>
        </w:rPr>
        <w:t>（三）主要污染物产排环节</w:t>
      </w:r>
      <w:bookmarkEnd w:id="19"/>
      <w:bookmarkEnd w:id="20"/>
    </w:p>
    <w:p>
      <w:pPr>
        <w:overflowPunct w:val="0"/>
        <w:topLinePunct/>
        <w:spacing w:line="460" w:lineRule="exact"/>
        <w:ind w:firstLine="576" w:firstLineChars="200"/>
        <w:rPr>
          <w:sz w:val="30"/>
          <w:szCs w:val="30"/>
        </w:rPr>
      </w:pPr>
      <w:r>
        <w:rPr>
          <w:sz w:val="30"/>
          <w:szCs w:val="30"/>
        </w:rPr>
        <w:t>颗粒物（PM）：主要来自矿石采选中的露天开采、矿石输送、破碎、筛分等工序，石材加工中的破碎、筛分、锯解、磨抛、裁切等工序。</w:t>
      </w:r>
    </w:p>
    <w:p>
      <w:pPr>
        <w:overflowPunct w:val="0"/>
        <w:topLinePunct/>
        <w:spacing w:line="460" w:lineRule="exact"/>
        <w:ind w:firstLine="576" w:firstLineChars="200"/>
        <w:rPr>
          <w:sz w:val="30"/>
          <w:szCs w:val="30"/>
        </w:rPr>
      </w:pPr>
      <w:r>
        <w:rPr>
          <w:sz w:val="30"/>
          <w:szCs w:val="30"/>
        </w:rPr>
        <w:t>二氧化硫（SO</w:t>
      </w:r>
      <w:r>
        <w:rPr>
          <w:sz w:val="30"/>
          <w:szCs w:val="30"/>
          <w:vertAlign w:val="subscript"/>
        </w:rPr>
        <w:t>2</w:t>
      </w:r>
      <w:r>
        <w:rPr>
          <w:sz w:val="30"/>
          <w:szCs w:val="30"/>
        </w:rPr>
        <w:t>）、氮氧化物（NO</w:t>
      </w:r>
      <w:r>
        <w:rPr>
          <w:i/>
          <w:iCs/>
          <w:sz w:val="30"/>
          <w:szCs w:val="30"/>
          <w:vertAlign w:val="subscript"/>
        </w:rPr>
        <w:t>x</w:t>
      </w:r>
      <w:r>
        <w:rPr>
          <w:sz w:val="30"/>
          <w:szCs w:val="30"/>
        </w:rPr>
        <w:t>）：主要来自厂内锅炉燃料燃烧。</w:t>
      </w:r>
    </w:p>
    <w:p>
      <w:pPr>
        <w:overflowPunct w:val="0"/>
        <w:topLinePunct/>
        <w:spacing w:line="460" w:lineRule="exact"/>
        <w:ind w:firstLine="576" w:firstLineChars="200"/>
        <w:rPr>
          <w:rFonts w:hint="eastAsia" w:eastAsia="仿宋_GB2312"/>
          <w:sz w:val="30"/>
          <w:szCs w:val="30"/>
          <w:lang w:eastAsia="zh-CN"/>
        </w:rPr>
      </w:pPr>
      <w:r>
        <w:rPr>
          <w:rFonts w:hint="eastAsia"/>
          <w:sz w:val="30"/>
          <w:szCs w:val="30"/>
          <w:lang w:eastAsia="zh-CN"/>
        </w:rPr>
        <w:t>挥发性有机物（</w:t>
      </w:r>
      <w:r>
        <w:rPr>
          <w:rFonts w:hint="eastAsia"/>
          <w:sz w:val="30"/>
          <w:szCs w:val="30"/>
          <w:lang w:val="en-US" w:eastAsia="zh-CN"/>
        </w:rPr>
        <w:t>VOCs</w:t>
      </w:r>
      <w:r>
        <w:rPr>
          <w:rFonts w:hint="eastAsia"/>
          <w:sz w:val="30"/>
          <w:szCs w:val="30"/>
          <w:lang w:eastAsia="zh-CN"/>
        </w:rPr>
        <w:t>）：主要来自施胶、干燥等工序。</w:t>
      </w:r>
    </w:p>
    <w:p>
      <w:pPr>
        <w:overflowPunct w:val="0"/>
        <w:topLinePunct/>
        <w:spacing w:line="460" w:lineRule="exact"/>
        <w:ind w:firstLine="576" w:firstLineChars="200"/>
        <w:rPr>
          <w:sz w:val="30"/>
          <w:szCs w:val="30"/>
        </w:rPr>
      </w:pPr>
    </w:p>
    <w:p>
      <w:pPr>
        <w:overflowPunct w:val="0"/>
        <w:topLinePunct/>
        <w:spacing w:line="460" w:lineRule="exact"/>
        <w:ind w:firstLine="576" w:firstLineChars="200"/>
        <w:rPr>
          <w:sz w:val="30"/>
          <w:szCs w:val="30"/>
        </w:rPr>
        <w:sectPr>
          <w:headerReference r:id="rId11" w:type="default"/>
          <w:footerReference r:id="rId13" w:type="default"/>
          <w:headerReference r:id="rId12" w:type="even"/>
          <w:footerReference r:id="rId14" w:type="even"/>
          <w:pgSz w:w="11910" w:h="16840"/>
          <w:pgMar w:top="2098" w:right="1474" w:bottom="1247" w:left="1588" w:header="851" w:footer="992" w:gutter="0"/>
          <w:cols w:space="720" w:num="1"/>
        </w:sectPr>
      </w:pPr>
    </w:p>
    <w:p>
      <w:pPr>
        <w:overflowPunct w:val="0"/>
        <w:topLinePunct/>
        <w:spacing w:line="360" w:lineRule="auto"/>
        <w:jc w:val="left"/>
        <w:outlineLvl w:val="2"/>
        <w:rPr>
          <w:rFonts w:eastAsia="楷体_GB2312"/>
          <w:kern w:val="0"/>
          <w:sz w:val="30"/>
          <w:szCs w:val="30"/>
        </w:rPr>
      </w:pPr>
      <w:bookmarkStart w:id="21" w:name="_Toc121413329"/>
      <w:bookmarkStart w:id="22" w:name="_Toc18738"/>
      <w:r>
        <w:rPr>
          <w:rFonts w:eastAsia="楷体_GB2312"/>
          <w:kern w:val="0"/>
          <w:sz w:val="30"/>
          <w:szCs w:val="30"/>
        </w:rPr>
        <w:t>（四）绩效分级指标</w:t>
      </w:r>
      <w:bookmarkEnd w:id="21"/>
      <w:bookmarkEnd w:id="22"/>
    </w:p>
    <w:p>
      <w:pPr>
        <w:overflowPunct w:val="0"/>
        <w:topLinePunct/>
        <w:jc w:val="center"/>
        <w:rPr>
          <w:rFonts w:eastAsia="黑体"/>
          <w:kern w:val="0"/>
          <w:sz w:val="24"/>
          <w:szCs w:val="24"/>
        </w:rPr>
      </w:pPr>
      <w:r>
        <w:rPr>
          <w:rFonts w:eastAsia="黑体"/>
          <w:kern w:val="0"/>
          <w:sz w:val="24"/>
          <w:szCs w:val="24"/>
        </w:rPr>
        <w:t>表2-1  矿石采选行业绩效分级指标</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239"/>
        <w:gridCol w:w="4768"/>
        <w:gridCol w:w="4966"/>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57"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hint="default" w:eastAsia="黑体"/>
                <w:kern w:val="0"/>
                <w:sz w:val="21"/>
                <w:szCs w:val="21"/>
              </w:rPr>
            </w:pPr>
            <w:r>
              <w:rPr>
                <w:rFonts w:hint="default" w:eastAsia="黑体"/>
                <w:kern w:val="0"/>
                <w:sz w:val="21"/>
                <w:szCs w:val="21"/>
              </w:rPr>
              <w:t>差异化指标</w:t>
            </w:r>
          </w:p>
        </w:tc>
        <w:tc>
          <w:tcPr>
            <w:tcW w:w="1759"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hint="default" w:eastAsia="黑体"/>
                <w:kern w:val="0"/>
                <w:sz w:val="21"/>
                <w:szCs w:val="21"/>
              </w:rPr>
            </w:pPr>
            <w:r>
              <w:rPr>
                <w:rFonts w:hint="default" w:eastAsia="黑体"/>
                <w:kern w:val="0"/>
                <w:sz w:val="21"/>
                <w:szCs w:val="21"/>
              </w:rPr>
              <w:t>A级企业</w:t>
            </w:r>
          </w:p>
        </w:tc>
        <w:tc>
          <w:tcPr>
            <w:tcW w:w="1832"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hint="default" w:eastAsia="黑体"/>
                <w:kern w:val="0"/>
                <w:sz w:val="21"/>
                <w:szCs w:val="21"/>
              </w:rPr>
            </w:pPr>
            <w:r>
              <w:rPr>
                <w:rFonts w:hint="default" w:eastAsia="黑体"/>
                <w:kern w:val="0"/>
                <w:sz w:val="21"/>
                <w:szCs w:val="21"/>
              </w:rPr>
              <w:t>B级企业</w:t>
            </w:r>
          </w:p>
        </w:tc>
        <w:tc>
          <w:tcPr>
            <w:tcW w:w="95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hint="default" w:eastAsia="黑体"/>
                <w:kern w:val="0"/>
                <w:sz w:val="21"/>
                <w:szCs w:val="21"/>
              </w:rPr>
            </w:pPr>
            <w:r>
              <w:rPr>
                <w:rFonts w:hint="default" w:eastAsia="黑体"/>
                <w:kern w:val="0"/>
                <w:sz w:val="21"/>
                <w:szCs w:val="21"/>
              </w:rPr>
              <w:t>C级企业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57"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能源类型</w:t>
            </w:r>
          </w:p>
        </w:tc>
        <w:tc>
          <w:tcPr>
            <w:tcW w:w="3591" w:type="pct"/>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采用电、天然气等能源。</w:t>
            </w:r>
          </w:p>
        </w:tc>
        <w:tc>
          <w:tcPr>
            <w:tcW w:w="95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57"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装备水平</w:t>
            </w:r>
          </w:p>
        </w:tc>
        <w:tc>
          <w:tcPr>
            <w:tcW w:w="1759" w:type="pct"/>
            <w:tcBorders>
              <w:top w:val="single" w:color="auto" w:sz="4" w:space="0"/>
              <w:left w:val="single" w:color="auto" w:sz="4" w:space="0"/>
              <w:bottom w:val="single" w:color="auto" w:sz="4" w:space="0"/>
              <w:right w:val="single" w:color="auto" w:sz="4" w:space="0"/>
            </w:tcBorders>
            <w:vAlign w:val="center"/>
          </w:tcPr>
          <w:p>
            <w:pPr>
              <w:numPr>
                <w:ilvl w:val="0"/>
                <w:numId w:val="1"/>
              </w:numPr>
              <w:overflowPunct w:val="0"/>
              <w:topLinePunct/>
              <w:spacing w:line="280" w:lineRule="exact"/>
              <w:rPr>
                <w:kern w:val="0"/>
                <w:sz w:val="20"/>
              </w:rPr>
            </w:pPr>
            <w:r>
              <w:rPr>
                <w:rFonts w:hint="eastAsia"/>
                <w:kern w:val="0"/>
                <w:sz w:val="20"/>
              </w:rPr>
              <w:t>采用凿岩穿孔等先进钻孔方式并配备除尘设施。</w:t>
            </w:r>
          </w:p>
          <w:p>
            <w:pPr>
              <w:numPr>
                <w:ilvl w:val="0"/>
                <w:numId w:val="1"/>
              </w:numPr>
              <w:overflowPunct w:val="0"/>
              <w:topLinePunct/>
              <w:spacing w:line="280" w:lineRule="exact"/>
              <w:rPr>
                <w:kern w:val="0"/>
                <w:sz w:val="20"/>
              </w:rPr>
            </w:pPr>
            <w:r>
              <w:rPr>
                <w:rFonts w:hint="eastAsia"/>
                <w:kern w:val="0"/>
                <w:sz w:val="20"/>
              </w:rPr>
              <w:t>深孔液压爆破等先进静态爆破工艺。</w:t>
            </w:r>
          </w:p>
          <w:p>
            <w:pPr>
              <w:numPr>
                <w:ilvl w:val="0"/>
                <w:numId w:val="1"/>
              </w:numPr>
              <w:overflowPunct w:val="0"/>
              <w:topLinePunct/>
              <w:spacing w:line="280" w:lineRule="exact"/>
              <w:rPr>
                <w:kern w:val="0"/>
                <w:sz w:val="20"/>
              </w:rPr>
            </w:pPr>
            <w:r>
              <w:rPr>
                <w:rFonts w:hint="eastAsia"/>
                <w:kern w:val="0"/>
                <w:sz w:val="20"/>
              </w:rPr>
              <w:t>自动化采装及自动化封闭式输送设备。</w:t>
            </w:r>
          </w:p>
        </w:tc>
        <w:tc>
          <w:tcPr>
            <w:tcW w:w="1832" w:type="pct"/>
            <w:tcBorders>
              <w:top w:val="single" w:color="auto" w:sz="4" w:space="0"/>
              <w:left w:val="single" w:color="auto" w:sz="4" w:space="0"/>
              <w:bottom w:val="single" w:color="auto" w:sz="4" w:space="0"/>
              <w:right w:val="single" w:color="auto" w:sz="4" w:space="0"/>
            </w:tcBorders>
            <w:vAlign w:val="center"/>
          </w:tcPr>
          <w:p>
            <w:pPr>
              <w:numPr>
                <w:ilvl w:val="0"/>
                <w:numId w:val="2"/>
              </w:numPr>
              <w:overflowPunct w:val="0"/>
              <w:topLinePunct/>
              <w:spacing w:line="280" w:lineRule="exact"/>
              <w:rPr>
                <w:kern w:val="0"/>
                <w:sz w:val="20"/>
              </w:rPr>
            </w:pPr>
            <w:r>
              <w:rPr>
                <w:rFonts w:hint="eastAsia"/>
                <w:kern w:val="0"/>
                <w:sz w:val="20"/>
              </w:rPr>
              <w:t>同A级第1条要求。</w:t>
            </w:r>
          </w:p>
          <w:p>
            <w:pPr>
              <w:numPr>
                <w:ilvl w:val="0"/>
                <w:numId w:val="2"/>
              </w:numPr>
              <w:overflowPunct w:val="0"/>
              <w:topLinePunct/>
              <w:spacing w:line="280" w:lineRule="exact"/>
              <w:rPr>
                <w:kern w:val="0"/>
                <w:sz w:val="20"/>
              </w:rPr>
            </w:pPr>
            <w:r>
              <w:rPr>
                <w:rFonts w:hint="eastAsia"/>
                <w:kern w:val="0"/>
                <w:sz w:val="20"/>
              </w:rPr>
              <w:t>深孔微差、低尘爆破等先进低尘爆破工艺。</w:t>
            </w:r>
          </w:p>
          <w:p>
            <w:pPr>
              <w:numPr>
                <w:ilvl w:val="0"/>
                <w:numId w:val="2"/>
              </w:numPr>
              <w:overflowPunct w:val="0"/>
              <w:topLinePunct/>
              <w:spacing w:line="280" w:lineRule="exact"/>
              <w:rPr>
                <w:kern w:val="0"/>
                <w:sz w:val="20"/>
              </w:rPr>
            </w:pPr>
            <w:r>
              <w:rPr>
                <w:rFonts w:hint="eastAsia"/>
                <w:kern w:val="0"/>
                <w:sz w:val="20"/>
              </w:rPr>
              <w:t>采用带苫盖且封闭良好的车辆运输。</w:t>
            </w:r>
          </w:p>
        </w:tc>
        <w:tc>
          <w:tcPr>
            <w:tcW w:w="95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57"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污染治理技术</w:t>
            </w:r>
          </w:p>
        </w:tc>
        <w:tc>
          <w:tcPr>
            <w:tcW w:w="1759"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除尘采用覆膜滤袋、滤筒、湿电等高效除尘技术。</w:t>
            </w:r>
          </w:p>
        </w:tc>
        <w:tc>
          <w:tcPr>
            <w:tcW w:w="1832"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除尘采用袋式除尘、电袋复合除尘等技术。</w:t>
            </w:r>
          </w:p>
        </w:tc>
        <w:tc>
          <w:tcPr>
            <w:tcW w:w="95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1" w:hRule="atLeast"/>
          <w:jc w:val="center"/>
        </w:trPr>
        <w:tc>
          <w:tcPr>
            <w:tcW w:w="457" w:type="pct"/>
            <w:tcBorders>
              <w:left w:val="single" w:color="auto" w:sz="4" w:space="0"/>
              <w:bottom w:val="single" w:color="auto" w:sz="4" w:space="0"/>
              <w:right w:val="single" w:color="auto" w:sz="4" w:space="0"/>
            </w:tcBorders>
            <w:vAlign w:val="center"/>
          </w:tcPr>
          <w:p>
            <w:pPr>
              <w:overflowPunct w:val="0"/>
              <w:topLinePunct/>
              <w:spacing w:line="280" w:lineRule="exact"/>
              <w:jc w:val="center"/>
              <w:rPr>
                <w:rFonts w:hint="eastAsia" w:eastAsia="黑体"/>
                <w:kern w:val="0"/>
                <w:sz w:val="20"/>
              </w:rPr>
            </w:pPr>
            <w:r>
              <w:rPr>
                <w:rFonts w:hint="eastAsia" w:eastAsia="黑体"/>
                <w:kern w:val="0"/>
                <w:sz w:val="20"/>
              </w:rPr>
              <w:t>无组织管控</w:t>
            </w:r>
          </w:p>
        </w:tc>
        <w:tc>
          <w:tcPr>
            <w:tcW w:w="3591"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80" w:lineRule="exact"/>
              <w:rPr>
                <w:kern w:val="0"/>
                <w:sz w:val="20"/>
              </w:rPr>
            </w:pPr>
            <w:r>
              <w:rPr>
                <w:rFonts w:hint="eastAsia"/>
                <w:kern w:val="0"/>
                <w:sz w:val="20"/>
                <w:lang w:val="en-US" w:eastAsia="zh-CN"/>
              </w:rPr>
              <w:t>1</w:t>
            </w:r>
            <w:r>
              <w:rPr>
                <w:rFonts w:hint="eastAsia"/>
                <w:kern w:val="0"/>
                <w:sz w:val="20"/>
              </w:rPr>
              <w:t>、露天采矿采取自上而下水平分层开采，并配备洒水或喷雾等抑尘措施。</w:t>
            </w:r>
          </w:p>
          <w:p>
            <w:pPr>
              <w:tabs>
                <w:tab w:val="left" w:pos="267"/>
              </w:tabs>
              <w:overflowPunct w:val="0"/>
              <w:topLinePunct/>
              <w:spacing w:line="280" w:lineRule="exact"/>
              <w:rPr>
                <w:kern w:val="0"/>
                <w:sz w:val="20"/>
              </w:rPr>
            </w:pPr>
            <w:r>
              <w:rPr>
                <w:rFonts w:hint="eastAsia"/>
                <w:kern w:val="0"/>
                <w:sz w:val="20"/>
                <w:lang w:val="en-US" w:eastAsia="zh-CN"/>
              </w:rPr>
              <w:t>2、矿山矿石装载配备有效抑尘措施；矿石卸载</w:t>
            </w:r>
            <w:r>
              <w:rPr>
                <w:rFonts w:hint="eastAsia"/>
                <w:kern w:val="0"/>
                <w:sz w:val="20"/>
              </w:rPr>
              <w:t>应在封闭厂房内作业</w:t>
            </w:r>
            <w:r>
              <w:rPr>
                <w:rFonts w:hint="eastAsia"/>
                <w:kern w:val="0"/>
                <w:sz w:val="20"/>
                <w:lang w:eastAsia="zh-CN"/>
              </w:rPr>
              <w:t>，并</w:t>
            </w:r>
            <w:r>
              <w:rPr>
                <w:rFonts w:hint="eastAsia"/>
                <w:kern w:val="0"/>
                <w:sz w:val="20"/>
                <w:lang w:val="en-US" w:eastAsia="zh-CN"/>
              </w:rPr>
              <w:t>配备有效抑尘措施；</w:t>
            </w:r>
            <w:r>
              <w:rPr>
                <w:rFonts w:hint="eastAsia"/>
                <w:kern w:val="0"/>
                <w:sz w:val="20"/>
              </w:rPr>
              <w:t>破碎、筛分等产尘工序应在封闭厂房内作业，产尘点设置集尘罩及除尘设施；生产车间无可见粉尘外逸。</w:t>
            </w:r>
          </w:p>
          <w:p>
            <w:pPr>
              <w:tabs>
                <w:tab w:val="left" w:pos="267"/>
              </w:tabs>
              <w:overflowPunct w:val="0"/>
              <w:topLinePunct/>
              <w:spacing w:line="280" w:lineRule="exact"/>
              <w:rPr>
                <w:kern w:val="0"/>
                <w:sz w:val="20"/>
              </w:rPr>
            </w:pPr>
            <w:r>
              <w:rPr>
                <w:rFonts w:hint="eastAsia"/>
                <w:kern w:val="0"/>
                <w:sz w:val="20"/>
                <w:lang w:val="en-US" w:eastAsia="zh-CN"/>
              </w:rPr>
              <w:t>3</w:t>
            </w:r>
            <w:r>
              <w:rPr>
                <w:rFonts w:hint="eastAsia"/>
                <w:kern w:val="0"/>
                <w:sz w:val="20"/>
              </w:rPr>
              <w:t>、粉状物料全部采取储罐、筒仓或覆膜吨袋等密闭储存；粒状、块状物料全部封闭或密闭储存，封闭料场内配置喷雾抑尘装置，料场货物进出大门设置自动感应门，在确保安全的情况下，所有门窗保持常闭状态。</w:t>
            </w:r>
          </w:p>
          <w:p>
            <w:pPr>
              <w:tabs>
                <w:tab w:val="left" w:pos="267"/>
              </w:tabs>
              <w:overflowPunct w:val="0"/>
              <w:topLinePunct/>
              <w:spacing w:line="280" w:lineRule="exact"/>
              <w:rPr>
                <w:kern w:val="0"/>
                <w:sz w:val="20"/>
              </w:rPr>
            </w:pPr>
            <w:r>
              <w:rPr>
                <w:rFonts w:hint="eastAsia"/>
                <w:kern w:val="0"/>
                <w:sz w:val="20"/>
                <w:lang w:val="en-US" w:eastAsia="zh-CN"/>
              </w:rPr>
              <w:t>4</w:t>
            </w:r>
            <w:r>
              <w:rPr>
                <w:rFonts w:hint="eastAsia"/>
                <w:kern w:val="0"/>
                <w:sz w:val="20"/>
              </w:rPr>
              <w:t>、各工序粒状、块状物料输送环节采取密封式输送机（加封闭廊道）、地下密闭廊道或其他清洁运输方式；粉状物料采取管状带式输送机、气力输送；物料装载、转移、下料口等产尘点应采取收集除尘措施，配套的除尘设施不与其他工序混用。</w:t>
            </w:r>
          </w:p>
          <w:p>
            <w:pPr>
              <w:tabs>
                <w:tab w:val="left" w:pos="267"/>
              </w:tabs>
              <w:overflowPunct w:val="0"/>
              <w:topLinePunct/>
              <w:spacing w:line="280" w:lineRule="exact"/>
              <w:rPr>
                <w:kern w:val="0"/>
                <w:sz w:val="20"/>
              </w:rPr>
            </w:pPr>
            <w:r>
              <w:rPr>
                <w:rFonts w:hint="eastAsia"/>
                <w:kern w:val="0"/>
                <w:sz w:val="20"/>
                <w:lang w:val="en-US" w:eastAsia="zh-CN"/>
              </w:rPr>
              <w:t>5</w:t>
            </w:r>
            <w:r>
              <w:rPr>
                <w:rFonts w:hint="eastAsia"/>
                <w:kern w:val="0"/>
                <w:sz w:val="20"/>
              </w:rPr>
              <w:t>、</w:t>
            </w:r>
            <w:r>
              <w:rPr>
                <w:rFonts w:hint="eastAsia"/>
                <w:kern w:val="0"/>
                <w:sz w:val="20"/>
                <w:lang w:val="en-US" w:eastAsia="zh-CN"/>
              </w:rPr>
              <w:t>厂区</w:t>
            </w:r>
            <w:r>
              <w:rPr>
                <w:rFonts w:hint="eastAsia"/>
                <w:kern w:val="0"/>
                <w:sz w:val="20"/>
              </w:rPr>
              <w:t>出口、各料场出口处配备高压清洗装置对所有车辆车轮、底盘进行冲洗，洗车平台四周应设置洗车废水收集治理设施。</w:t>
            </w:r>
          </w:p>
          <w:p>
            <w:pPr>
              <w:tabs>
                <w:tab w:val="left" w:pos="267"/>
              </w:tabs>
              <w:overflowPunct w:val="0"/>
              <w:topLinePunct/>
              <w:spacing w:line="280" w:lineRule="exact"/>
              <w:rPr>
                <w:kern w:val="0"/>
                <w:sz w:val="20"/>
              </w:rPr>
            </w:pPr>
            <w:r>
              <w:rPr>
                <w:rFonts w:hint="eastAsia"/>
                <w:kern w:val="0"/>
                <w:sz w:val="20"/>
                <w:lang w:val="en-US" w:eastAsia="zh-CN"/>
              </w:rPr>
              <w:t>6</w:t>
            </w:r>
            <w:r>
              <w:rPr>
                <w:rFonts w:hint="eastAsia"/>
                <w:kern w:val="0"/>
                <w:sz w:val="20"/>
              </w:rPr>
              <w:t>、采矿企业尾矿库、废石场、排土场应采取防尘网等抑尘措施，矿区工业广场、废石场、矿区专用道路，路面应硬化，并采取定期清扫、洒水等抑尘措施；企业厂区内道路、堆场等路面应硬化，保持清洁，路面保持湿润且无明显可见扬尘，道路两侧区域实施绿化或覆盖。</w:t>
            </w:r>
          </w:p>
          <w:p>
            <w:pPr>
              <w:tabs>
                <w:tab w:val="left" w:pos="267"/>
              </w:tabs>
              <w:overflowPunct w:val="0"/>
              <w:topLinePunct/>
              <w:spacing w:line="280" w:lineRule="exact"/>
              <w:rPr>
                <w:kern w:val="0"/>
                <w:sz w:val="20"/>
              </w:rPr>
            </w:pPr>
            <w:r>
              <w:rPr>
                <w:rFonts w:hint="eastAsia"/>
                <w:kern w:val="0"/>
                <w:sz w:val="20"/>
                <w:lang w:val="en-US" w:eastAsia="zh-CN"/>
              </w:rPr>
              <w:t>7</w:t>
            </w:r>
            <w:r>
              <w:rPr>
                <w:rFonts w:hint="eastAsia"/>
                <w:kern w:val="0"/>
                <w:sz w:val="20"/>
              </w:rPr>
              <w:t>、除尘器应设置密闭灰仓，除尘灰应采用气力输送、密闭罐车、</w:t>
            </w:r>
            <w:r>
              <w:rPr>
                <w:rFonts w:hint="eastAsia"/>
                <w:kern w:val="0"/>
                <w:sz w:val="20"/>
                <w:lang w:eastAsia="zh-CN"/>
              </w:rPr>
              <w:t>覆膜</w:t>
            </w:r>
            <w:r>
              <w:rPr>
                <w:rFonts w:hint="eastAsia"/>
                <w:kern w:val="0"/>
                <w:sz w:val="20"/>
              </w:rPr>
              <w:t>吨袋等密闭方式卸灰和运输，不得直接卸落到地面。</w:t>
            </w:r>
          </w:p>
          <w:p>
            <w:pPr>
              <w:tabs>
                <w:tab w:val="left" w:pos="267"/>
              </w:tabs>
              <w:overflowPunct w:val="0"/>
              <w:topLinePunct/>
              <w:spacing w:line="280" w:lineRule="exact"/>
              <w:ind w:left="0"/>
              <w:rPr>
                <w:rFonts w:hint="eastAsia"/>
                <w:kern w:val="0"/>
                <w:sz w:val="20"/>
              </w:rPr>
            </w:pPr>
            <w:r>
              <w:rPr>
                <w:rFonts w:hint="eastAsia"/>
                <w:kern w:val="0"/>
                <w:sz w:val="20"/>
                <w:lang w:val="en-US" w:eastAsia="zh-CN"/>
              </w:rPr>
              <w:t>8</w:t>
            </w:r>
            <w:r>
              <w:rPr>
                <w:rFonts w:hint="eastAsia"/>
                <w:kern w:val="0"/>
                <w:sz w:val="20"/>
              </w:rPr>
              <w:t>、采矿企业矿山开采面、作业平台干净整洁，无明显扬尘，开采面在停产期间需用防尘网全覆盖；选矿企业地面全部硬化或绿化，无物料散落，破碎、筛分二次封闭空间及物料运输廊道无可见粉尘外逸。</w:t>
            </w:r>
          </w:p>
        </w:tc>
        <w:tc>
          <w:tcPr>
            <w:tcW w:w="950" w:type="pct"/>
            <w:tcBorders>
              <w:left w:val="single" w:color="auto" w:sz="4" w:space="0"/>
              <w:bottom w:val="single" w:color="auto" w:sz="4" w:space="0"/>
              <w:right w:val="single" w:color="auto" w:sz="4" w:space="0"/>
            </w:tcBorders>
            <w:vAlign w:val="center"/>
          </w:tcPr>
          <w:p>
            <w:pPr>
              <w:overflowPunct w:val="0"/>
              <w:topLinePunct/>
              <w:spacing w:line="280" w:lineRule="exact"/>
              <w:rPr>
                <w:rFonts w:hint="eastAsia"/>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57"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排放限值</w:t>
            </w:r>
          </w:p>
        </w:tc>
        <w:tc>
          <w:tcPr>
            <w:tcW w:w="3591" w:type="pct"/>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所有工序有组织PM排放浓度不超过10mg/m</w:t>
            </w:r>
            <w:r>
              <w:rPr>
                <w:rFonts w:hint="eastAsia"/>
                <w:kern w:val="0"/>
                <w:sz w:val="20"/>
                <w:vertAlign w:val="superscript"/>
              </w:rPr>
              <w:t>3</w:t>
            </w:r>
            <w:r>
              <w:rPr>
                <w:rFonts w:hint="eastAsia"/>
                <w:kern w:val="0"/>
                <w:sz w:val="20"/>
              </w:rPr>
              <w:t>，厂界无组织PM排放浓度不超过0.5mg/m</w:t>
            </w:r>
            <w:r>
              <w:rPr>
                <w:rFonts w:hint="eastAsia"/>
                <w:kern w:val="0"/>
                <w:sz w:val="20"/>
                <w:vertAlign w:val="superscript"/>
              </w:rPr>
              <w:t>3</w:t>
            </w:r>
            <w:r>
              <w:rPr>
                <w:rFonts w:hint="eastAsia" w:cs="仿宋_GB2312"/>
                <w:kern w:val="0"/>
                <w:sz w:val="20"/>
              </w:rPr>
              <w:t>。</w:t>
            </w:r>
          </w:p>
        </w:tc>
        <w:tc>
          <w:tcPr>
            <w:tcW w:w="95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57"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监测监控水平</w:t>
            </w:r>
          </w:p>
        </w:tc>
        <w:tc>
          <w:tcPr>
            <w:tcW w:w="3591"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80" w:lineRule="exact"/>
              <w:rPr>
                <w:kern w:val="0"/>
                <w:sz w:val="20"/>
              </w:rPr>
            </w:pPr>
            <w:r>
              <w:rPr>
                <w:rFonts w:hint="eastAsia"/>
                <w:kern w:val="0"/>
                <w:sz w:val="20"/>
              </w:rPr>
              <w:t>1、重点排污单位及排污许可重点管理单位主要排</w:t>
            </w:r>
            <w:r>
              <w:rPr>
                <w:rFonts w:hint="eastAsia"/>
                <w:kern w:val="0"/>
                <w:sz w:val="20"/>
                <w:lang w:eastAsia="zh-CN"/>
              </w:rPr>
              <w:t>放</w:t>
            </w:r>
            <w:r>
              <w:rPr>
                <w:rFonts w:hint="eastAsia"/>
                <w:kern w:val="0"/>
                <w:sz w:val="20"/>
              </w:rPr>
              <w:t>口安装污染物排放自动监测设备（CEMS），并与生态环境主管部门的监控设备联网，数据保存一年以上（</w:t>
            </w:r>
            <w:r>
              <w:rPr>
                <w:rFonts w:hint="eastAsia"/>
                <w:kern w:val="0"/>
                <w:sz w:val="20"/>
                <w:lang w:eastAsia="zh-CN"/>
              </w:rPr>
              <w:t>投产或安装时间不满一年的企业</w:t>
            </w:r>
            <w:r>
              <w:rPr>
                <w:rFonts w:hint="eastAsia"/>
                <w:kern w:val="0"/>
                <w:sz w:val="20"/>
              </w:rPr>
              <w:t>，以现有数据为准）。</w:t>
            </w:r>
          </w:p>
          <w:p>
            <w:pPr>
              <w:tabs>
                <w:tab w:val="left" w:pos="267"/>
              </w:tabs>
              <w:overflowPunct w:val="0"/>
              <w:topLinePunct/>
              <w:spacing w:line="280" w:lineRule="exact"/>
              <w:rPr>
                <w:kern w:val="0"/>
                <w:sz w:val="20"/>
              </w:rPr>
            </w:pPr>
            <w:r>
              <w:rPr>
                <w:rFonts w:hint="eastAsia"/>
                <w:kern w:val="0"/>
                <w:sz w:val="20"/>
              </w:rPr>
              <w:t>2、按照排污许可证、行业自行监测指南或排污单位自行监测技术指南等相关要求开展自行监测。</w:t>
            </w:r>
          </w:p>
          <w:p>
            <w:pPr>
              <w:tabs>
                <w:tab w:val="left" w:pos="267"/>
              </w:tabs>
              <w:overflowPunct w:val="0"/>
              <w:topLinePunct/>
              <w:spacing w:line="280" w:lineRule="exact"/>
              <w:rPr>
                <w:kern w:val="0"/>
                <w:sz w:val="20"/>
              </w:rPr>
            </w:pPr>
            <w:r>
              <w:rPr>
                <w:rFonts w:hint="eastAsia"/>
                <w:kern w:val="0"/>
                <w:sz w:val="20"/>
              </w:rPr>
              <w:t>3、厂区货运进出口、</w:t>
            </w:r>
            <w:r>
              <w:rPr>
                <w:rFonts w:hint="eastAsia"/>
                <w:kern w:val="0"/>
                <w:sz w:val="20"/>
                <w:lang w:eastAsia="zh-CN"/>
              </w:rPr>
              <w:t>易产尘点</w:t>
            </w:r>
            <w:r>
              <w:rPr>
                <w:rFonts w:hint="eastAsia"/>
                <w:kern w:val="0"/>
                <w:sz w:val="20"/>
              </w:rPr>
              <w:t>安装高清视频监控系统，视频监控数据保存3个月以上。</w:t>
            </w:r>
          </w:p>
          <w:p>
            <w:pPr>
              <w:tabs>
                <w:tab w:val="left" w:pos="267"/>
              </w:tabs>
              <w:overflowPunct w:val="0"/>
              <w:topLinePunct/>
              <w:spacing w:line="280" w:lineRule="exact"/>
              <w:ind w:left="0"/>
              <w:rPr>
                <w:kern w:val="0"/>
                <w:sz w:val="20"/>
              </w:rPr>
            </w:pPr>
            <w:r>
              <w:rPr>
                <w:rFonts w:hint="eastAsia"/>
                <w:kern w:val="0"/>
                <w:sz w:val="20"/>
                <w:lang w:val="en-US" w:eastAsia="zh-CN"/>
              </w:rPr>
              <w:t>4</w:t>
            </w:r>
            <w:r>
              <w:rPr>
                <w:rFonts w:hint="eastAsia"/>
                <w:kern w:val="0"/>
                <w:sz w:val="20"/>
              </w:rPr>
              <w:t>、企业主要环保设施及生产设施安装分布式控制系统（DCS）或可保存和查看历史数据的可编程控制系统（PLC），记录企业环保设施运行及相关生产过程主要参数，数据保存一年以上。</w:t>
            </w:r>
          </w:p>
          <w:p>
            <w:pPr>
              <w:tabs>
                <w:tab w:val="left" w:pos="267"/>
              </w:tabs>
              <w:overflowPunct w:val="0"/>
              <w:topLinePunct/>
              <w:spacing w:line="280" w:lineRule="exact"/>
              <w:ind w:left="0"/>
              <w:rPr>
                <w:kern w:val="0"/>
                <w:sz w:val="20"/>
              </w:rPr>
            </w:pPr>
            <w:r>
              <w:rPr>
                <w:rFonts w:hint="eastAsia"/>
                <w:kern w:val="0"/>
                <w:sz w:val="20"/>
                <w:lang w:val="en-US" w:eastAsia="zh-CN"/>
              </w:rPr>
              <w:t>5</w:t>
            </w:r>
            <w:r>
              <w:rPr>
                <w:rFonts w:hint="eastAsia"/>
                <w:kern w:val="0"/>
                <w:sz w:val="20"/>
              </w:rPr>
              <w:t>、厂界需安装颗粒物（PM</w:t>
            </w:r>
            <w:r>
              <w:rPr>
                <w:rFonts w:hint="eastAsia"/>
                <w:kern w:val="0"/>
                <w:sz w:val="20"/>
                <w:vertAlign w:val="subscript"/>
              </w:rPr>
              <w:t>2.5</w:t>
            </w:r>
            <w:r>
              <w:rPr>
                <w:rFonts w:hint="eastAsia"/>
                <w:kern w:val="0"/>
                <w:sz w:val="20"/>
              </w:rPr>
              <w:t>和PM</w:t>
            </w:r>
            <w:r>
              <w:rPr>
                <w:rFonts w:hint="eastAsia"/>
                <w:kern w:val="0"/>
                <w:sz w:val="20"/>
                <w:vertAlign w:val="subscript"/>
              </w:rPr>
              <w:t>10</w:t>
            </w:r>
            <w:r>
              <w:rPr>
                <w:rFonts w:hint="eastAsia"/>
                <w:kern w:val="0"/>
                <w:sz w:val="20"/>
              </w:rPr>
              <w:t>）无组织自动监控设施。</w:t>
            </w:r>
          </w:p>
        </w:tc>
        <w:tc>
          <w:tcPr>
            <w:tcW w:w="95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57"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环境管理水平</w:t>
            </w:r>
          </w:p>
        </w:tc>
        <w:tc>
          <w:tcPr>
            <w:tcW w:w="4542" w:type="pct"/>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环保档案：1、环评批复文件和竣工环保验收文件或者环境现状评估备案证明；2、排污许可证或固定污染物源排污登记回执；3、环境管理制度（有组织、无组织排放长效管理机制，主要包括岗位责任制度、达标公示制度和定期巡查维护制度等）；4、废气治理设施运行管理规程；5、一年内废气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57"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p>
        </w:tc>
        <w:tc>
          <w:tcPr>
            <w:tcW w:w="3591"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80" w:lineRule="exact"/>
              <w:rPr>
                <w:kern w:val="0"/>
                <w:sz w:val="20"/>
              </w:rPr>
            </w:pPr>
            <w:r>
              <w:rPr>
                <w:rFonts w:hint="eastAsia"/>
                <w:kern w:val="0"/>
                <w:sz w:val="20"/>
              </w:rPr>
              <w:t>台账记录：1、生产设施运行管理信息（生产时间、运行负荷、产品产量等）；2、废气污染治理设施运行管理信息；3、监测记录信息（主要污染排放口废气排放记录等）；4、主要原辅材料消耗记录；5、燃料消耗记录；6、固废、危废处理记录；7、运输车辆、厂内车辆、非道路移动机械电子台账（进出场时间、车辆或非道路移动机械信息、运送货物名称及运量等）。</w:t>
            </w:r>
          </w:p>
        </w:tc>
        <w:tc>
          <w:tcPr>
            <w:tcW w:w="95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57"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p>
        </w:tc>
        <w:tc>
          <w:tcPr>
            <w:tcW w:w="3591"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80" w:lineRule="exact"/>
              <w:ind w:left="-53"/>
              <w:rPr>
                <w:kern w:val="0"/>
                <w:sz w:val="20"/>
              </w:rPr>
            </w:pPr>
            <w:r>
              <w:rPr>
                <w:rFonts w:hint="eastAsia"/>
                <w:kern w:val="0"/>
                <w:sz w:val="20"/>
              </w:rPr>
              <w:t>人员配置：配备专职环保人员，并具备相应的环境管理能力（学历、培训、从业经验等）</w:t>
            </w:r>
          </w:p>
        </w:tc>
        <w:tc>
          <w:tcPr>
            <w:tcW w:w="95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57"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运输方式</w:t>
            </w:r>
          </w:p>
        </w:tc>
        <w:tc>
          <w:tcPr>
            <w:tcW w:w="1759"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80" w:lineRule="exact"/>
              <w:ind w:left="0"/>
              <w:rPr>
                <w:kern w:val="0"/>
                <w:sz w:val="20"/>
              </w:rPr>
            </w:pPr>
            <w:r>
              <w:rPr>
                <w:rFonts w:hint="eastAsia"/>
                <w:kern w:val="0"/>
                <w:sz w:val="20"/>
              </w:rPr>
              <w:t>1、</w:t>
            </w:r>
            <w:r>
              <w:rPr>
                <w:rFonts w:hint="eastAsia"/>
                <w:kern w:val="0"/>
                <w:sz w:val="20"/>
                <w:lang w:val="en-US" w:eastAsia="zh-Hans"/>
              </w:rPr>
              <w:t>矿石采选</w:t>
            </w:r>
            <w:r>
              <w:rPr>
                <w:rFonts w:hint="eastAsia"/>
                <w:kern w:val="0"/>
                <w:sz w:val="20"/>
              </w:rPr>
              <w:t>运输车辆全部</w:t>
            </w:r>
            <w:r>
              <w:rPr>
                <w:rFonts w:hint="eastAsia"/>
                <w:kern w:val="0"/>
                <w:sz w:val="20"/>
                <w:lang w:eastAsia="zh-CN"/>
              </w:rPr>
              <w:t>使用</w:t>
            </w:r>
            <w:r>
              <w:rPr>
                <w:rFonts w:hint="eastAsia"/>
                <w:kern w:val="0"/>
                <w:sz w:val="20"/>
              </w:rPr>
              <w:t>国五及以上排放标准重型载货车辆（含燃气）或新能源车辆等清洁运输方式。</w:t>
            </w:r>
          </w:p>
          <w:p>
            <w:pPr>
              <w:tabs>
                <w:tab w:val="left" w:pos="267"/>
              </w:tabs>
              <w:overflowPunct w:val="0"/>
              <w:topLinePunct/>
              <w:spacing w:line="280" w:lineRule="exact"/>
              <w:ind w:left="0"/>
              <w:rPr>
                <w:kern w:val="0"/>
                <w:sz w:val="20"/>
              </w:rPr>
            </w:pPr>
            <w:r>
              <w:rPr>
                <w:rFonts w:hint="eastAsia"/>
                <w:kern w:val="0"/>
                <w:sz w:val="20"/>
              </w:rPr>
              <w:t>2、厂内运输车辆全部达到国五及以上排放标准（含燃气）或使用新能源车辆。</w:t>
            </w:r>
          </w:p>
          <w:p>
            <w:pPr>
              <w:tabs>
                <w:tab w:val="left" w:pos="267"/>
              </w:tabs>
              <w:overflowPunct w:val="0"/>
              <w:topLinePunct/>
              <w:spacing w:line="280" w:lineRule="exact"/>
              <w:ind w:left="0"/>
              <w:rPr>
                <w:kern w:val="0"/>
                <w:sz w:val="20"/>
              </w:rPr>
            </w:pPr>
            <w:r>
              <w:rPr>
                <w:rFonts w:hint="eastAsia"/>
                <w:kern w:val="0"/>
                <w:sz w:val="20"/>
              </w:rPr>
              <w:t>3、厂内非道路移动机械全部达到国三及以上排放标准或使用新能源机械。</w:t>
            </w:r>
          </w:p>
        </w:tc>
        <w:tc>
          <w:tcPr>
            <w:tcW w:w="1832"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80" w:lineRule="exact"/>
              <w:ind w:left="0"/>
              <w:rPr>
                <w:kern w:val="0"/>
                <w:sz w:val="20"/>
              </w:rPr>
            </w:pPr>
            <w:r>
              <w:rPr>
                <w:rFonts w:hint="eastAsia"/>
                <w:kern w:val="0"/>
                <w:sz w:val="20"/>
              </w:rPr>
              <w:t>1、</w:t>
            </w:r>
            <w:r>
              <w:rPr>
                <w:rFonts w:hint="eastAsia"/>
                <w:kern w:val="0"/>
                <w:sz w:val="20"/>
                <w:lang w:val="en-US" w:eastAsia="zh-Hans"/>
              </w:rPr>
              <w:t>矿石采选</w:t>
            </w:r>
            <w:r>
              <w:rPr>
                <w:rFonts w:hint="eastAsia"/>
                <w:kern w:val="0"/>
                <w:sz w:val="20"/>
              </w:rPr>
              <w:t>运输车辆</w:t>
            </w:r>
            <w:r>
              <w:rPr>
                <w:rFonts w:hint="eastAsia"/>
                <w:kern w:val="0"/>
                <w:sz w:val="20"/>
                <w:lang w:eastAsia="zh-CN"/>
              </w:rPr>
              <w:t>使用</w:t>
            </w:r>
            <w:r>
              <w:rPr>
                <w:rFonts w:hint="eastAsia"/>
                <w:kern w:val="0"/>
                <w:sz w:val="20"/>
              </w:rPr>
              <w:t>国五及以上排放标准重型载货车辆（含燃气）或新能源车辆等清洁运输方式的比例不低于80%。</w:t>
            </w:r>
          </w:p>
          <w:p>
            <w:pPr>
              <w:tabs>
                <w:tab w:val="left" w:pos="267"/>
              </w:tabs>
              <w:overflowPunct w:val="0"/>
              <w:topLinePunct/>
              <w:spacing w:line="280" w:lineRule="exact"/>
              <w:ind w:left="0"/>
              <w:rPr>
                <w:kern w:val="0"/>
                <w:sz w:val="20"/>
              </w:rPr>
            </w:pPr>
            <w:r>
              <w:rPr>
                <w:rFonts w:hint="eastAsia"/>
                <w:kern w:val="0"/>
                <w:sz w:val="20"/>
              </w:rPr>
              <w:t>2、厂内运输车辆达到国五及以上排放标准（含燃气）或使用新能源车辆比例不低于80%。</w:t>
            </w:r>
          </w:p>
          <w:p>
            <w:pPr>
              <w:tabs>
                <w:tab w:val="left" w:pos="267"/>
              </w:tabs>
              <w:overflowPunct w:val="0"/>
              <w:topLinePunct/>
              <w:spacing w:line="280" w:lineRule="exact"/>
              <w:ind w:left="0"/>
              <w:rPr>
                <w:kern w:val="0"/>
                <w:sz w:val="20"/>
              </w:rPr>
            </w:pPr>
            <w:r>
              <w:rPr>
                <w:rFonts w:hint="eastAsia"/>
                <w:kern w:val="0"/>
                <w:sz w:val="20"/>
              </w:rPr>
              <w:t>3、厂内非道路移动机械达到国三及以上排放标准或使用新能源机械比例不低于80%。</w:t>
            </w:r>
          </w:p>
        </w:tc>
        <w:tc>
          <w:tcPr>
            <w:tcW w:w="95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57"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运输监管</w:t>
            </w:r>
          </w:p>
        </w:tc>
        <w:tc>
          <w:tcPr>
            <w:tcW w:w="3591"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80" w:lineRule="exact"/>
              <w:ind w:left="0"/>
              <w:rPr>
                <w:kern w:val="0"/>
                <w:sz w:val="20"/>
              </w:rPr>
            </w:pPr>
            <w:r>
              <w:rPr>
                <w:rFonts w:hint="eastAsia"/>
                <w:kern w:val="0"/>
                <w:sz w:val="20"/>
                <w:lang w:eastAsia="zh-CN"/>
              </w:rPr>
              <w:t>建立门禁系统和电子台账，创建要求参照《重点行业移动源监管与核查技术指南》（</w:t>
            </w:r>
            <w:r>
              <w:rPr>
                <w:rFonts w:hint="eastAsia"/>
                <w:kern w:val="0"/>
                <w:sz w:val="20"/>
                <w:lang w:val="en-US" w:eastAsia="zh-CN"/>
              </w:rPr>
              <w:t>HJ 1321</w:t>
            </w:r>
            <w:r>
              <w:rPr>
                <w:rFonts w:hint="eastAsia"/>
                <w:kern w:val="0"/>
                <w:sz w:val="20"/>
                <w:lang w:eastAsia="zh-CN"/>
              </w:rPr>
              <w:t>）</w:t>
            </w:r>
            <w:r>
              <w:rPr>
                <w:rFonts w:hint="eastAsia"/>
                <w:kern w:val="0"/>
                <w:sz w:val="20"/>
              </w:rPr>
              <w:t>。</w:t>
            </w:r>
          </w:p>
        </w:tc>
        <w:tc>
          <w:tcPr>
            <w:tcW w:w="95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未达到A、B级要求。</w:t>
            </w:r>
          </w:p>
        </w:tc>
      </w:tr>
    </w:tbl>
    <w:p>
      <w:pPr>
        <w:overflowPunct w:val="0"/>
        <w:topLinePunct/>
        <w:jc w:val="center"/>
        <w:rPr>
          <w:kern w:val="0"/>
          <w:sz w:val="24"/>
          <w:szCs w:val="24"/>
        </w:rPr>
      </w:pPr>
    </w:p>
    <w:p>
      <w:pPr>
        <w:overflowPunct w:val="0"/>
        <w:topLinePunct/>
        <w:jc w:val="center"/>
        <w:rPr>
          <w:rFonts w:eastAsia="黑体"/>
          <w:kern w:val="0"/>
          <w:sz w:val="24"/>
          <w:szCs w:val="24"/>
        </w:rPr>
      </w:pPr>
      <w:r>
        <w:rPr>
          <w:rFonts w:eastAsia="宋体" w:cs="宋体"/>
          <w:kern w:val="0"/>
          <w:sz w:val="22"/>
          <w:szCs w:val="22"/>
        </w:rPr>
        <w:br w:type="page"/>
      </w:r>
      <w:r>
        <w:rPr>
          <w:rFonts w:eastAsia="黑体"/>
          <w:kern w:val="0"/>
          <w:sz w:val="24"/>
          <w:szCs w:val="24"/>
        </w:rPr>
        <w:t>表2-2  石材加工企业绩效引领性指标</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23"/>
        <w:gridCol w:w="1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52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1"/>
                <w:szCs w:val="21"/>
              </w:rPr>
            </w:pPr>
            <w:r>
              <w:rPr>
                <w:rFonts w:hint="eastAsia" w:eastAsia="黑体"/>
                <w:kern w:val="0"/>
                <w:sz w:val="21"/>
                <w:szCs w:val="21"/>
              </w:rPr>
              <w:t>引领性指标</w:t>
            </w:r>
          </w:p>
        </w:tc>
        <w:tc>
          <w:tcPr>
            <w:tcW w:w="447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kern w:val="0"/>
                <w:sz w:val="21"/>
                <w:szCs w:val="21"/>
              </w:rPr>
            </w:pPr>
            <w:r>
              <w:rPr>
                <w:rFonts w:hint="eastAsia"/>
                <w:kern w:val="0"/>
                <w:sz w:val="21"/>
                <w:szCs w:val="21"/>
              </w:rPr>
              <w:t>石材加工企业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52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能源类型</w:t>
            </w:r>
          </w:p>
        </w:tc>
        <w:tc>
          <w:tcPr>
            <w:tcW w:w="447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采用电、天然气等能源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52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原辅材料</w:t>
            </w:r>
          </w:p>
        </w:tc>
        <w:tc>
          <w:tcPr>
            <w:tcW w:w="447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使用的胶粘剂满足《胶粘剂挥发性有机化合物限量》（GB 33372-2020）要求。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52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40" w:lineRule="exact"/>
              <w:jc w:val="center"/>
              <w:rPr>
                <w:rFonts w:eastAsia="黑体"/>
                <w:kern w:val="0"/>
                <w:sz w:val="20"/>
              </w:rPr>
            </w:pPr>
            <w:r>
              <w:rPr>
                <w:rFonts w:hint="eastAsia" w:eastAsia="黑体"/>
                <w:kern w:val="0"/>
                <w:sz w:val="20"/>
              </w:rPr>
              <w:t>污染治理技术</w:t>
            </w:r>
          </w:p>
        </w:tc>
        <w:tc>
          <w:tcPr>
            <w:tcW w:w="447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40" w:lineRule="exact"/>
              <w:rPr>
                <w:kern w:val="0"/>
                <w:sz w:val="20"/>
              </w:rPr>
            </w:pPr>
            <w:r>
              <w:rPr>
                <w:rFonts w:hint="eastAsia"/>
                <w:kern w:val="0"/>
                <w:sz w:val="20"/>
              </w:rPr>
              <w:t>1、除尘采用覆膜滤袋、滤筒、湿电等高效除尘技术。</w:t>
            </w:r>
          </w:p>
          <w:p>
            <w:pPr>
              <w:overflowPunct w:val="0"/>
              <w:topLinePunct/>
              <w:spacing w:line="340" w:lineRule="exact"/>
              <w:rPr>
                <w:kern w:val="0"/>
                <w:sz w:val="20"/>
              </w:rPr>
            </w:pPr>
            <w:r>
              <w:rPr>
                <w:rFonts w:hint="eastAsia"/>
                <w:kern w:val="0"/>
                <w:sz w:val="20"/>
              </w:rPr>
              <w:t>2、NO</w:t>
            </w:r>
            <w:r>
              <w:rPr>
                <w:rFonts w:hint="eastAsia"/>
                <w:i/>
                <w:iCs/>
                <w:kern w:val="0"/>
                <w:sz w:val="20"/>
                <w:vertAlign w:val="subscript"/>
              </w:rPr>
              <w:t>x</w:t>
            </w:r>
            <w:r>
              <w:rPr>
                <w:rFonts w:hint="eastAsia"/>
                <w:kern w:val="0"/>
                <w:sz w:val="20"/>
              </w:rPr>
              <w:t>治理采用低氮燃烧、SNCR/SCR等适宜技术（不含电炉）。</w:t>
            </w:r>
          </w:p>
          <w:p>
            <w:pPr>
              <w:overflowPunct w:val="0"/>
              <w:topLinePunct/>
              <w:spacing w:line="340" w:lineRule="exact"/>
              <w:rPr>
                <w:kern w:val="0"/>
                <w:sz w:val="20"/>
              </w:rPr>
            </w:pPr>
            <w:r>
              <w:rPr>
                <w:rFonts w:hint="eastAsia"/>
                <w:kern w:val="0"/>
                <w:sz w:val="20"/>
              </w:rPr>
              <w:t>3、使用水基型、本体型胶粘剂时，当车间或生产设施排气中非甲烷总烃（NMHC）初始排放速率≥2 kg/h时，建设末端治污设施。</w:t>
            </w:r>
          </w:p>
          <w:p>
            <w:pPr>
              <w:overflowPunct w:val="0"/>
              <w:topLinePunct/>
              <w:spacing w:line="340" w:lineRule="exact"/>
              <w:rPr>
                <w:kern w:val="0"/>
                <w:sz w:val="20"/>
              </w:rPr>
            </w:pPr>
            <w:r>
              <w:rPr>
                <w:rFonts w:hint="eastAsia"/>
                <w:kern w:val="0"/>
                <w:sz w:val="20"/>
              </w:rPr>
              <w:t>4、使用溶剂型胶粘剂时，废气排至废气收集处理系统，废气采用燃烧、吸附等治理技术。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43" w:hRule="atLeast"/>
          <w:jc w:val="center"/>
        </w:trPr>
        <w:tc>
          <w:tcPr>
            <w:tcW w:w="525" w:type="pct"/>
            <w:tcBorders>
              <w:top w:val="single" w:color="auto" w:sz="4" w:space="0"/>
              <w:left w:val="single" w:color="auto" w:sz="4" w:space="0"/>
              <w:right w:val="single" w:color="auto" w:sz="4" w:space="0"/>
            </w:tcBorders>
            <w:vAlign w:val="center"/>
          </w:tcPr>
          <w:p>
            <w:pPr>
              <w:overflowPunct w:val="0"/>
              <w:topLinePunct/>
              <w:spacing w:line="340" w:lineRule="exact"/>
              <w:jc w:val="center"/>
              <w:rPr>
                <w:rFonts w:eastAsia="黑体"/>
                <w:kern w:val="0"/>
                <w:sz w:val="20"/>
              </w:rPr>
            </w:pPr>
            <w:r>
              <w:rPr>
                <w:rFonts w:hint="eastAsia" w:eastAsia="黑体"/>
                <w:kern w:val="0"/>
                <w:sz w:val="20"/>
              </w:rPr>
              <w:t>无组织管控</w:t>
            </w:r>
          </w:p>
        </w:tc>
        <w:tc>
          <w:tcPr>
            <w:tcW w:w="447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40" w:lineRule="exact"/>
              <w:rPr>
                <w:kern w:val="0"/>
                <w:sz w:val="20"/>
              </w:rPr>
            </w:pPr>
            <w:r>
              <w:rPr>
                <w:rFonts w:hint="eastAsia"/>
                <w:kern w:val="0"/>
                <w:sz w:val="20"/>
              </w:rPr>
              <w:t>1、石材切割、打磨、雕刻、抛光等产尘工序，应采用湿法作业，分类设置作业区域，作业区内建有规范的围堰、排水渠，将作业废水导排至封闭集水池进行有效收集；采用干法作业的，切割、打磨、雕刻、抛光等作业过程保持封闭，配</w:t>
            </w:r>
            <w:r>
              <w:rPr>
                <w:rFonts w:hint="eastAsia"/>
                <w:kern w:val="0"/>
                <w:sz w:val="20"/>
                <w:lang w:eastAsia="zh-CN"/>
              </w:rPr>
              <w:t>备</w:t>
            </w:r>
            <w:r>
              <w:rPr>
                <w:rFonts w:hint="eastAsia"/>
                <w:kern w:val="0"/>
                <w:sz w:val="20"/>
              </w:rPr>
              <w:t>粉尘收集处理装置；生产车间无可见粉尘外逸。</w:t>
            </w:r>
          </w:p>
          <w:p>
            <w:pPr>
              <w:overflowPunct w:val="0"/>
              <w:topLinePunct/>
              <w:spacing w:line="340" w:lineRule="exact"/>
              <w:rPr>
                <w:kern w:val="0"/>
                <w:sz w:val="20"/>
              </w:rPr>
            </w:pPr>
            <w:r>
              <w:rPr>
                <w:rFonts w:hint="eastAsia"/>
                <w:kern w:val="0"/>
                <w:sz w:val="20"/>
              </w:rPr>
              <w:t>2、施胶、干燥</w:t>
            </w:r>
            <w:r>
              <w:rPr>
                <w:rFonts w:hint="eastAsia"/>
                <w:kern w:val="0"/>
                <w:sz w:val="20"/>
                <w:lang w:eastAsia="zh-CN"/>
              </w:rPr>
              <w:t>等</w:t>
            </w:r>
            <w:r>
              <w:rPr>
                <w:rFonts w:hint="eastAsia"/>
                <w:kern w:val="0"/>
                <w:sz w:val="20"/>
              </w:rPr>
              <w:t>工序在密闭空间内操作，废气排至VOCs废气收集处理系统。</w:t>
            </w:r>
          </w:p>
          <w:p>
            <w:pPr>
              <w:overflowPunct w:val="0"/>
              <w:topLinePunct/>
              <w:spacing w:line="340" w:lineRule="exact"/>
              <w:rPr>
                <w:kern w:val="0"/>
                <w:sz w:val="20"/>
              </w:rPr>
            </w:pPr>
            <w:r>
              <w:rPr>
                <w:rFonts w:hint="eastAsia"/>
                <w:kern w:val="0"/>
                <w:sz w:val="20"/>
              </w:rPr>
              <w:t>3、除尘器应设置密闭灰仓，除尘灰应采用气力输送、密闭罐车、吨袋等密闭方式卸灰和运输，不得直接卸落到地面。</w:t>
            </w:r>
          </w:p>
          <w:p>
            <w:pPr>
              <w:overflowPunct w:val="0"/>
              <w:topLinePunct/>
              <w:spacing w:line="340" w:lineRule="exact"/>
              <w:rPr>
                <w:kern w:val="0"/>
                <w:sz w:val="20"/>
              </w:rPr>
            </w:pPr>
            <w:r>
              <w:rPr>
                <w:rFonts w:hint="eastAsia"/>
                <w:kern w:val="0"/>
                <w:sz w:val="20"/>
              </w:rPr>
              <w:t>4、危险废料存放于独立密闭暂存间内，暂存间内地面硬化并做好防扬散、防流失、防渗漏措施；液体危废需采用密闭容器盛装，必须有</w:t>
            </w:r>
            <w:r>
              <w:rPr>
                <w:rFonts w:hint="default"/>
                <w:kern w:val="0"/>
                <w:sz w:val="20"/>
              </w:rPr>
              <w:t>泄漏</w:t>
            </w:r>
            <w:r>
              <w:rPr>
                <w:rFonts w:hint="eastAsia"/>
                <w:kern w:val="0"/>
                <w:sz w:val="20"/>
              </w:rPr>
              <w:t>液收集装置（托盘、导流沟、收集池等）；具有挥发性气体的危废需采用密闭容器盛装，暂存间废气经导出口排至气体净化装置。</w:t>
            </w:r>
          </w:p>
          <w:p>
            <w:pPr>
              <w:overflowPunct w:val="0"/>
              <w:topLinePunct/>
              <w:spacing w:line="340" w:lineRule="exact"/>
              <w:rPr>
                <w:rFonts w:hint="eastAsia" w:eastAsia="仿宋_GB2312"/>
                <w:kern w:val="0"/>
                <w:sz w:val="20"/>
                <w:lang w:eastAsia="zh-CN"/>
              </w:rPr>
            </w:pPr>
            <w:r>
              <w:rPr>
                <w:rFonts w:hint="eastAsia"/>
                <w:kern w:val="0"/>
                <w:sz w:val="20"/>
              </w:rPr>
              <w:t>5、企业地面全部硬化或绿化，无物料散落，生产车间无可见粉尘外逸。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52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40" w:lineRule="exact"/>
              <w:jc w:val="center"/>
              <w:rPr>
                <w:rFonts w:eastAsia="黑体"/>
                <w:kern w:val="0"/>
                <w:sz w:val="20"/>
              </w:rPr>
            </w:pPr>
            <w:r>
              <w:rPr>
                <w:rFonts w:hint="eastAsia" w:eastAsia="黑体"/>
                <w:kern w:val="0"/>
                <w:sz w:val="20"/>
              </w:rPr>
              <w:t>排放限值</w:t>
            </w:r>
          </w:p>
        </w:tc>
        <w:tc>
          <w:tcPr>
            <w:tcW w:w="447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40" w:lineRule="exact"/>
              <w:rPr>
                <w:kern w:val="0"/>
                <w:sz w:val="20"/>
                <w:vertAlign w:val="superscript"/>
              </w:rPr>
            </w:pPr>
            <w:r>
              <w:rPr>
                <w:rFonts w:hint="eastAsia"/>
                <w:kern w:val="0"/>
                <w:sz w:val="20"/>
              </w:rPr>
              <w:t>1、有组织PM排放浓度不超过10 mg/m</w:t>
            </w:r>
            <w:r>
              <w:rPr>
                <w:rFonts w:hint="eastAsia"/>
                <w:kern w:val="0"/>
                <w:sz w:val="20"/>
                <w:vertAlign w:val="superscript"/>
              </w:rPr>
              <w:t>3</w:t>
            </w:r>
            <w:r>
              <w:rPr>
                <w:rFonts w:hint="eastAsia"/>
                <w:kern w:val="0"/>
                <w:sz w:val="20"/>
              </w:rPr>
              <w:t>，厂界无组织PM排放浓度不超过0.5mg/m</w:t>
            </w:r>
            <w:r>
              <w:rPr>
                <w:rFonts w:hint="eastAsia"/>
                <w:kern w:val="0"/>
                <w:sz w:val="20"/>
                <w:vertAlign w:val="superscript"/>
              </w:rPr>
              <w:t>3</w:t>
            </w:r>
            <w:r>
              <w:rPr>
                <w:rFonts w:hint="eastAsia" w:cs="仿宋_GB2312"/>
                <w:kern w:val="0"/>
                <w:sz w:val="20"/>
              </w:rPr>
              <w:t>。</w:t>
            </w:r>
          </w:p>
          <w:p>
            <w:pPr>
              <w:overflowPunct w:val="0"/>
              <w:topLinePunct/>
              <w:spacing w:line="340" w:lineRule="exact"/>
              <w:rPr>
                <w:rFonts w:hint="eastAsia"/>
                <w:kern w:val="0"/>
                <w:sz w:val="20"/>
              </w:rPr>
            </w:pPr>
            <w:r>
              <w:rPr>
                <w:rFonts w:hint="eastAsia"/>
                <w:kern w:val="0"/>
                <w:sz w:val="20"/>
              </w:rPr>
              <w:t>2、有组织NMHC排放浓度分别不高于30 mg/m</w:t>
            </w:r>
            <w:r>
              <w:rPr>
                <w:rFonts w:hint="eastAsia"/>
                <w:kern w:val="0"/>
                <w:sz w:val="20"/>
                <w:vertAlign w:val="superscript"/>
              </w:rPr>
              <w:t>3</w:t>
            </w:r>
            <w:r>
              <w:rPr>
                <w:rFonts w:hint="eastAsia"/>
                <w:kern w:val="0"/>
                <w:sz w:val="20"/>
              </w:rPr>
              <w:t>；厂区内无组织排放监控点NMHC的小时平均浓度值不超过2 mg/m</w:t>
            </w:r>
            <w:r>
              <w:rPr>
                <w:rFonts w:hint="eastAsia"/>
                <w:kern w:val="0"/>
                <w:sz w:val="20"/>
                <w:vertAlign w:val="superscript"/>
              </w:rPr>
              <w:t>3</w:t>
            </w:r>
            <w:r>
              <w:rPr>
                <w:rFonts w:hint="eastAsia"/>
                <w:kern w:val="0"/>
                <w:sz w:val="20"/>
              </w:rPr>
              <w:t>、任意一次浓度值不超过8mg/m</w:t>
            </w:r>
            <w:r>
              <w:rPr>
                <w:rFonts w:hint="eastAsia"/>
                <w:kern w:val="0"/>
                <w:sz w:val="20"/>
                <w:vertAlign w:val="superscript"/>
              </w:rPr>
              <w:t>3</w:t>
            </w:r>
            <w:r>
              <w:rPr>
                <w:rFonts w:hint="eastAsia"/>
                <w:kern w:val="0"/>
                <w:sz w:val="20"/>
              </w:rPr>
              <w:t>。</w:t>
            </w:r>
          </w:p>
          <w:p>
            <w:pPr>
              <w:overflowPunct w:val="0"/>
              <w:topLinePunct/>
              <w:spacing w:line="340" w:lineRule="exact"/>
              <w:rPr>
                <w:rFonts w:hint="eastAsia" w:eastAsia="仿宋_GB2312"/>
                <w:kern w:val="0"/>
                <w:sz w:val="20"/>
                <w:lang w:val="en-US" w:eastAsia="zh-CN"/>
              </w:rPr>
            </w:pPr>
            <w:r>
              <w:rPr>
                <w:rFonts w:hint="eastAsia"/>
                <w:kern w:val="0"/>
                <w:sz w:val="20"/>
                <w:lang w:val="en-US" w:eastAsia="zh-CN"/>
              </w:rPr>
              <w:t>3、燃气锅炉</w:t>
            </w:r>
            <w:r>
              <w:rPr>
                <w:rFonts w:hint="eastAsia"/>
                <w:kern w:val="0"/>
                <w:sz w:val="20"/>
              </w:rPr>
              <w:t>PM、SO</w:t>
            </w:r>
            <w:r>
              <w:rPr>
                <w:rFonts w:hint="eastAsia"/>
                <w:kern w:val="0"/>
                <w:sz w:val="20"/>
                <w:vertAlign w:val="subscript"/>
              </w:rPr>
              <w:t>2</w:t>
            </w:r>
            <w:r>
              <w:rPr>
                <w:rFonts w:hint="eastAsia"/>
                <w:kern w:val="0"/>
                <w:sz w:val="20"/>
              </w:rPr>
              <w:t>、NO</w:t>
            </w:r>
            <w:r>
              <w:rPr>
                <w:rFonts w:hint="eastAsia"/>
                <w:i/>
                <w:iCs/>
                <w:kern w:val="0"/>
                <w:sz w:val="20"/>
                <w:vertAlign w:val="subscript"/>
              </w:rPr>
              <w:t>x</w:t>
            </w:r>
            <w:r>
              <w:rPr>
                <w:rFonts w:hint="eastAsia"/>
                <w:kern w:val="0"/>
                <w:sz w:val="20"/>
              </w:rPr>
              <w:t>排放浓度分别不超过</w:t>
            </w:r>
            <w:r>
              <w:rPr>
                <w:rFonts w:hint="eastAsia"/>
                <w:kern w:val="0"/>
                <w:sz w:val="20"/>
                <w:lang w:val="en-US" w:eastAsia="zh-CN"/>
              </w:rPr>
              <w:t xml:space="preserve">5 </w:t>
            </w:r>
            <w:r>
              <w:rPr>
                <w:rFonts w:hint="eastAsia"/>
                <w:kern w:val="0"/>
                <w:sz w:val="20"/>
              </w:rPr>
              <w:t>mg/m</w:t>
            </w:r>
            <w:r>
              <w:rPr>
                <w:rFonts w:hint="eastAsia"/>
                <w:kern w:val="0"/>
                <w:sz w:val="20"/>
                <w:vertAlign w:val="superscript"/>
              </w:rPr>
              <w:t>3</w:t>
            </w:r>
            <w:r>
              <w:rPr>
                <w:rFonts w:hint="eastAsia"/>
                <w:kern w:val="0"/>
                <w:sz w:val="20"/>
              </w:rPr>
              <w:t>、</w:t>
            </w:r>
            <w:r>
              <w:rPr>
                <w:rFonts w:hint="eastAsia"/>
                <w:kern w:val="0"/>
                <w:sz w:val="20"/>
                <w:lang w:val="en-US" w:eastAsia="zh-CN"/>
              </w:rPr>
              <w:t xml:space="preserve">10 </w:t>
            </w:r>
            <w:r>
              <w:rPr>
                <w:rFonts w:hint="eastAsia"/>
                <w:kern w:val="0"/>
                <w:sz w:val="20"/>
              </w:rPr>
              <w:t>mg/m</w:t>
            </w:r>
            <w:r>
              <w:rPr>
                <w:rFonts w:hint="eastAsia"/>
                <w:kern w:val="0"/>
                <w:sz w:val="20"/>
                <w:vertAlign w:val="superscript"/>
              </w:rPr>
              <w:t>3</w:t>
            </w:r>
            <w:r>
              <w:rPr>
                <w:rFonts w:hint="eastAsia"/>
                <w:kern w:val="0"/>
                <w:sz w:val="20"/>
              </w:rPr>
              <w:t>和</w:t>
            </w:r>
            <w:r>
              <w:rPr>
                <w:rFonts w:hint="eastAsia"/>
                <w:kern w:val="0"/>
                <w:sz w:val="20"/>
                <w:lang w:val="en-US" w:eastAsia="zh-CN"/>
              </w:rPr>
              <w:t>3</w:t>
            </w:r>
            <w:r>
              <w:rPr>
                <w:rFonts w:hint="eastAsia"/>
                <w:kern w:val="0"/>
                <w:sz w:val="20"/>
              </w:rPr>
              <w:t>0mg/m</w:t>
            </w:r>
            <w:r>
              <w:rPr>
                <w:rFonts w:hint="eastAsia"/>
                <w:kern w:val="0"/>
                <w:sz w:val="20"/>
                <w:vertAlign w:val="superscript"/>
              </w:rPr>
              <w:t>3</w:t>
            </w:r>
            <w:r>
              <w:rPr>
                <w:rFonts w:hint="eastAsia"/>
                <w:kern w:val="0"/>
                <w:sz w:val="20"/>
              </w:rPr>
              <w:t>（基准氧含量</w:t>
            </w:r>
            <w:r>
              <w:rPr>
                <w:rFonts w:hint="eastAsia"/>
                <w:kern w:val="0"/>
                <w:sz w:val="20"/>
                <w:lang w:val="en-US" w:eastAsia="zh-CN"/>
              </w:rPr>
              <w:t>3.5</w:t>
            </w:r>
            <w:r>
              <w:rPr>
                <w:rFonts w:hint="eastAsia"/>
                <w:kern w:val="0"/>
                <w:sz w:val="20"/>
              </w:rPr>
              <w:t>%）</w:t>
            </w:r>
            <w:r>
              <w:rPr>
                <w:rFonts w:hint="eastAsia"/>
                <w:kern w:val="0"/>
                <w:sz w:val="20"/>
                <w:lang w:eastAsia="zh-CN"/>
              </w:rPr>
              <w:t>。</w:t>
            </w:r>
          </w:p>
          <w:p>
            <w:pPr>
              <w:overflowPunct w:val="0"/>
              <w:topLinePunct/>
              <w:spacing w:line="340" w:lineRule="exact"/>
              <w:rPr>
                <w:kern w:val="0"/>
                <w:sz w:val="20"/>
                <w:vertAlign w:val="superscript"/>
              </w:rPr>
            </w:pPr>
            <w:r>
              <w:rPr>
                <w:rFonts w:hint="eastAsia"/>
                <w:kern w:val="0"/>
                <w:sz w:val="20"/>
                <w:lang w:val="en-US" w:eastAsia="zh-CN"/>
              </w:rPr>
              <w:t>4</w:t>
            </w:r>
            <w:r>
              <w:rPr>
                <w:rFonts w:hint="eastAsia"/>
                <w:kern w:val="0"/>
                <w:sz w:val="20"/>
              </w:rPr>
              <w:t>、其他各项污染物稳定达到现行排放控制要求。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52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40" w:lineRule="exact"/>
              <w:jc w:val="center"/>
              <w:rPr>
                <w:rFonts w:eastAsia="黑体"/>
                <w:kern w:val="0"/>
                <w:sz w:val="20"/>
              </w:rPr>
            </w:pPr>
            <w:r>
              <w:rPr>
                <w:rFonts w:hint="eastAsia" w:eastAsia="黑体"/>
                <w:kern w:val="0"/>
                <w:sz w:val="20"/>
              </w:rPr>
              <w:t>监测监控水平</w:t>
            </w:r>
          </w:p>
        </w:tc>
        <w:tc>
          <w:tcPr>
            <w:tcW w:w="447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40" w:lineRule="exact"/>
              <w:rPr>
                <w:kern w:val="0"/>
                <w:sz w:val="20"/>
              </w:rPr>
            </w:pPr>
            <w:r>
              <w:rPr>
                <w:rFonts w:hint="eastAsia"/>
                <w:kern w:val="0"/>
                <w:sz w:val="20"/>
              </w:rPr>
              <w:t>1、重点排污企业风量大于10000 m</w:t>
            </w:r>
            <w:r>
              <w:rPr>
                <w:rFonts w:hint="eastAsia"/>
                <w:kern w:val="0"/>
                <w:sz w:val="20"/>
                <w:vertAlign w:val="superscript"/>
              </w:rPr>
              <w:t>3</w:t>
            </w:r>
            <w:r>
              <w:rPr>
                <w:rFonts w:hint="eastAsia"/>
                <w:kern w:val="0"/>
                <w:sz w:val="20"/>
              </w:rPr>
              <w:t>/h的</w:t>
            </w:r>
            <w:r>
              <w:rPr>
                <w:rFonts w:hint="eastAsia"/>
                <w:kern w:val="0"/>
                <w:sz w:val="20"/>
                <w:lang w:eastAsia="zh-CN"/>
              </w:rPr>
              <w:t>有机废气</w:t>
            </w:r>
            <w:r>
              <w:rPr>
                <w:rFonts w:hint="eastAsia"/>
                <w:kern w:val="0"/>
                <w:sz w:val="20"/>
              </w:rPr>
              <w:t>主要排放口安装NMHC</w:t>
            </w:r>
            <w:r>
              <w:rPr>
                <w:rFonts w:hint="eastAsia"/>
                <w:kern w:val="0"/>
                <w:sz w:val="20"/>
                <w:lang w:eastAsia="zh-CN"/>
              </w:rPr>
              <w:t>在线监控系统（</w:t>
            </w:r>
            <w:r>
              <w:rPr>
                <w:rFonts w:hint="eastAsia"/>
                <w:kern w:val="0"/>
                <w:sz w:val="20"/>
                <w:lang w:val="en-US" w:eastAsia="zh-CN"/>
              </w:rPr>
              <w:t>FID检测器</w:t>
            </w:r>
            <w:r>
              <w:rPr>
                <w:rFonts w:hint="eastAsia"/>
                <w:kern w:val="0"/>
                <w:sz w:val="20"/>
                <w:lang w:eastAsia="zh-CN"/>
              </w:rPr>
              <w:t>）</w:t>
            </w:r>
            <w:r>
              <w:rPr>
                <w:rFonts w:hint="eastAsia"/>
                <w:kern w:val="0"/>
                <w:sz w:val="20"/>
              </w:rPr>
              <w:t>，自动监控数据保存一年以上（</w:t>
            </w:r>
            <w:r>
              <w:rPr>
                <w:rFonts w:hint="eastAsia"/>
                <w:kern w:val="0"/>
                <w:sz w:val="20"/>
                <w:lang w:eastAsia="zh-CN"/>
              </w:rPr>
              <w:t>投产或安装时间不满一年的企业</w:t>
            </w:r>
            <w:r>
              <w:rPr>
                <w:rFonts w:hint="eastAsia"/>
                <w:kern w:val="0"/>
                <w:sz w:val="20"/>
              </w:rPr>
              <w:t>，以现有数据为准）。</w:t>
            </w:r>
          </w:p>
          <w:p>
            <w:pPr>
              <w:tabs>
                <w:tab w:val="left" w:pos="267"/>
              </w:tabs>
              <w:overflowPunct w:val="0"/>
              <w:topLinePunct/>
              <w:spacing w:line="340" w:lineRule="exact"/>
              <w:rPr>
                <w:kern w:val="0"/>
                <w:sz w:val="20"/>
              </w:rPr>
            </w:pPr>
            <w:r>
              <w:rPr>
                <w:rFonts w:hint="eastAsia"/>
                <w:kern w:val="0"/>
                <w:sz w:val="20"/>
              </w:rPr>
              <w:t>2、按照排污许可证、行业自行监测指南或排污单位自行监测技术指南等相关要求开展自行监测。</w:t>
            </w:r>
          </w:p>
          <w:p>
            <w:pPr>
              <w:overflowPunct w:val="0"/>
              <w:topLinePunct/>
              <w:spacing w:line="340" w:lineRule="exact"/>
              <w:rPr>
                <w:kern w:val="0"/>
                <w:sz w:val="20"/>
              </w:rPr>
            </w:pPr>
            <w:r>
              <w:rPr>
                <w:rFonts w:hint="eastAsia"/>
                <w:kern w:val="0"/>
                <w:sz w:val="20"/>
              </w:rPr>
              <w:t>3、厂区货运进出口、易产尘点安装高清视频监控系统，视频监控数据保存3个月以上。</w:t>
            </w:r>
          </w:p>
          <w:p>
            <w:pPr>
              <w:overflowPunct w:val="0"/>
              <w:topLinePunct/>
              <w:spacing w:line="340" w:lineRule="exact"/>
              <w:rPr>
                <w:kern w:val="0"/>
                <w:sz w:val="20"/>
              </w:rPr>
            </w:pPr>
            <w:r>
              <w:rPr>
                <w:rFonts w:hint="eastAsia"/>
                <w:kern w:val="0"/>
                <w:sz w:val="20"/>
                <w:lang w:val="en-US" w:eastAsia="zh-CN"/>
              </w:rPr>
              <w:t>4</w:t>
            </w:r>
            <w:r>
              <w:rPr>
                <w:rFonts w:hint="eastAsia"/>
                <w:kern w:val="0"/>
                <w:sz w:val="20"/>
              </w:rPr>
              <w:t>、企业主要环保设施及生产设施安装分布式控制系统（DCS）或可保存和查看历史数据的可编程控制系统（PLC），记录企业环保设施运行及相关生产过程主要参数，数据保存一年以上。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525"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环境管理水平</w:t>
            </w:r>
          </w:p>
        </w:tc>
        <w:tc>
          <w:tcPr>
            <w:tcW w:w="447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环保档案：1、环评批复文件和竣工环保验收文件或者环境现状评估备案证明；2、排污许可证或固定污染物源排污登记回执；3、环境管理制度（有组织、无组织排放长效管理机制，主要包括岗位责任制度、达标公示制度和定期巡查维护制度等）；4、废气治理设施运行管理规程；5、一年内废气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525"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p>
        </w:tc>
        <w:tc>
          <w:tcPr>
            <w:tcW w:w="447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台账记录：1、生产设施运行管理信息（生产时间、运行负荷、产品产量等）；2、废气污染治理设施运行管理信息；3、监测记录信息（主要污染排放口废气排放监测记录等）；4、主要原辅材料消耗记录；5、燃料消耗记录；6、一般固废、危废处理记录；7、运输车辆、厂内车辆、非道路移动机械电子台账（进出场时间、车辆或非道路移动机械信息、运送货物名称及运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525"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p>
        </w:tc>
        <w:tc>
          <w:tcPr>
            <w:tcW w:w="447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人员配置：配备专职环保人员，并具备相应的环境管理能力（学历、培训、从业经验等）。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52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运输方式</w:t>
            </w:r>
          </w:p>
        </w:tc>
        <w:tc>
          <w:tcPr>
            <w:tcW w:w="4474"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ind w:left="0"/>
              <w:rPr>
                <w:kern w:val="0"/>
                <w:sz w:val="20"/>
              </w:rPr>
            </w:pPr>
            <w:r>
              <w:rPr>
                <w:rFonts w:hint="eastAsia"/>
                <w:kern w:val="0"/>
                <w:sz w:val="20"/>
              </w:rPr>
              <w:t>1、物料、产品公路运输全部使用国五及以上排放标准重型载货车辆（含燃气）或新能源车辆等清洁运输方式。</w:t>
            </w:r>
          </w:p>
          <w:p>
            <w:pPr>
              <w:tabs>
                <w:tab w:val="left" w:pos="267"/>
              </w:tabs>
              <w:overflowPunct w:val="0"/>
              <w:topLinePunct/>
              <w:spacing w:line="320" w:lineRule="exact"/>
              <w:ind w:left="0"/>
              <w:rPr>
                <w:kern w:val="0"/>
                <w:sz w:val="20"/>
              </w:rPr>
            </w:pPr>
            <w:r>
              <w:rPr>
                <w:rFonts w:hint="eastAsia"/>
                <w:kern w:val="0"/>
                <w:sz w:val="20"/>
              </w:rPr>
              <w:t>2、厂内运输车辆全部达到国五及以上排放标准（含燃气）或使用新能源车辆。</w:t>
            </w:r>
          </w:p>
          <w:p>
            <w:pPr>
              <w:tabs>
                <w:tab w:val="left" w:pos="267"/>
              </w:tabs>
              <w:overflowPunct w:val="0"/>
              <w:topLinePunct/>
              <w:spacing w:line="320" w:lineRule="exact"/>
              <w:ind w:left="0"/>
              <w:rPr>
                <w:kern w:val="0"/>
                <w:sz w:val="20"/>
              </w:rPr>
            </w:pPr>
            <w:r>
              <w:rPr>
                <w:rFonts w:hint="eastAsia"/>
                <w:kern w:val="0"/>
                <w:sz w:val="20"/>
              </w:rPr>
              <w:t>3、厂内非道路移动机械全部达到国三及以上排放标准或使用新能源机械。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52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运输监管</w:t>
            </w:r>
          </w:p>
        </w:tc>
        <w:tc>
          <w:tcPr>
            <w:tcW w:w="447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lang w:eastAsia="zh-CN"/>
              </w:rPr>
              <w:t>建立门禁系统和电子台账，创建要求参照《重点行业移动源监管与核查技术指南》（</w:t>
            </w:r>
            <w:r>
              <w:rPr>
                <w:rFonts w:hint="eastAsia"/>
                <w:kern w:val="0"/>
                <w:sz w:val="20"/>
                <w:lang w:val="en-US" w:eastAsia="zh-CN"/>
              </w:rPr>
              <w:t>HJ 1321</w:t>
            </w:r>
            <w:r>
              <w:rPr>
                <w:rFonts w:hint="eastAsia"/>
                <w:kern w:val="0"/>
                <w:sz w:val="20"/>
                <w:lang w:eastAsia="zh-CN"/>
              </w:rPr>
              <w:t>）</w:t>
            </w:r>
            <w:r>
              <w:rPr>
                <w:rFonts w:hint="eastAsia"/>
                <w:kern w:val="0"/>
                <w:sz w:val="20"/>
              </w:rPr>
              <w:t>。</w:t>
            </w:r>
          </w:p>
        </w:tc>
      </w:tr>
    </w:tbl>
    <w:p>
      <w:pPr>
        <w:overflowPunct w:val="0"/>
        <w:topLinePunct/>
        <w:jc w:val="center"/>
        <w:sectPr>
          <w:headerReference r:id="rId15" w:type="default"/>
          <w:footerReference r:id="rId17" w:type="default"/>
          <w:headerReference r:id="rId16" w:type="even"/>
          <w:footerReference r:id="rId18" w:type="even"/>
          <w:pgSz w:w="16840" w:h="11910" w:orient="landscape"/>
          <w:pgMar w:top="1588" w:right="2098" w:bottom="1474" w:left="1247" w:header="851" w:footer="992" w:gutter="0"/>
          <w:cols w:space="720" w:num="1"/>
        </w:sectPr>
      </w:pPr>
    </w:p>
    <w:p>
      <w:pPr>
        <w:overflowPunct w:val="0"/>
        <w:topLinePunct/>
        <w:spacing w:line="540" w:lineRule="exact"/>
        <w:ind w:firstLine="576" w:firstLineChars="200"/>
        <w:outlineLvl w:val="2"/>
        <w:rPr>
          <w:rFonts w:eastAsia="楷体_GB2312"/>
          <w:kern w:val="0"/>
          <w:sz w:val="30"/>
          <w:szCs w:val="30"/>
        </w:rPr>
      </w:pPr>
      <w:bookmarkStart w:id="23" w:name="_Toc9258"/>
      <w:bookmarkStart w:id="24" w:name="_Toc121413330"/>
      <w:r>
        <w:rPr>
          <w:rFonts w:eastAsia="楷体_GB2312"/>
          <w:kern w:val="0"/>
          <w:sz w:val="30"/>
          <w:szCs w:val="30"/>
        </w:rPr>
        <w:t>（五）减排措施</w:t>
      </w:r>
      <w:bookmarkEnd w:id="23"/>
      <w:bookmarkEnd w:id="24"/>
    </w:p>
    <w:p>
      <w:pPr>
        <w:overflowPunct w:val="0"/>
        <w:topLinePunct/>
        <w:spacing w:line="540" w:lineRule="exact"/>
        <w:ind w:firstLine="576" w:firstLineChars="200"/>
        <w:rPr>
          <w:sz w:val="30"/>
          <w:szCs w:val="30"/>
        </w:rPr>
      </w:pPr>
      <w:r>
        <w:rPr>
          <w:sz w:val="30"/>
          <w:szCs w:val="30"/>
        </w:rPr>
        <w:t>1、A级企业</w:t>
      </w:r>
    </w:p>
    <w:p>
      <w:pPr>
        <w:overflowPunct w:val="0"/>
        <w:topLinePunct/>
        <w:spacing w:line="540" w:lineRule="exact"/>
        <w:ind w:firstLine="576" w:firstLineChars="200"/>
        <w:rPr>
          <w:sz w:val="30"/>
          <w:szCs w:val="30"/>
        </w:rPr>
      </w:pPr>
      <w:r>
        <w:rPr>
          <w:sz w:val="30"/>
          <w:szCs w:val="30"/>
        </w:rPr>
        <w:t>鼓励结合实际，自主采取减排措施。</w:t>
      </w:r>
    </w:p>
    <w:p>
      <w:pPr>
        <w:overflowPunct w:val="0"/>
        <w:topLinePunct/>
        <w:spacing w:line="540" w:lineRule="exact"/>
        <w:ind w:firstLine="576" w:firstLineChars="200"/>
        <w:rPr>
          <w:sz w:val="30"/>
          <w:szCs w:val="30"/>
        </w:rPr>
      </w:pPr>
      <w:r>
        <w:rPr>
          <w:sz w:val="30"/>
          <w:szCs w:val="30"/>
        </w:rPr>
        <w:t>2、B级企业</w:t>
      </w:r>
    </w:p>
    <w:p>
      <w:pPr>
        <w:overflowPunct w:val="0"/>
        <w:topLinePunct/>
        <w:spacing w:line="540" w:lineRule="exact"/>
        <w:ind w:firstLine="576" w:firstLineChars="200"/>
        <w:rPr>
          <w:sz w:val="30"/>
          <w:szCs w:val="30"/>
        </w:rPr>
      </w:pPr>
      <w:r>
        <w:rPr>
          <w:sz w:val="30"/>
          <w:szCs w:val="30"/>
        </w:rPr>
        <w:t>黄色预警期间：</w:t>
      </w:r>
      <w:r>
        <w:rPr>
          <w:rFonts w:hint="eastAsia"/>
          <w:sz w:val="30"/>
          <w:szCs w:val="30"/>
        </w:rPr>
        <w:t>停止使用国四及以下重型载货车辆（含燃气）进行物料运输</w:t>
      </w:r>
      <w:r>
        <w:rPr>
          <w:sz w:val="30"/>
          <w:szCs w:val="30"/>
        </w:rPr>
        <w:t>。</w:t>
      </w:r>
    </w:p>
    <w:p>
      <w:pPr>
        <w:overflowPunct w:val="0"/>
        <w:topLinePunct/>
        <w:spacing w:line="540" w:lineRule="exact"/>
        <w:ind w:firstLine="576" w:firstLineChars="200"/>
        <w:rPr>
          <w:sz w:val="30"/>
          <w:szCs w:val="30"/>
        </w:rPr>
      </w:pPr>
      <w:r>
        <w:rPr>
          <w:sz w:val="30"/>
          <w:szCs w:val="30"/>
        </w:rPr>
        <w:t>橙色预警期间：矿石开采行业停止露天开采、破碎作业；选矿行业破碎、筛分、锯解、磨抛、裁切等涉气工序限产</w:t>
      </w:r>
      <w:r>
        <w:rPr>
          <w:rFonts w:hint="eastAsia"/>
          <w:sz w:val="30"/>
          <w:szCs w:val="30"/>
        </w:rPr>
        <w:t>5</w:t>
      </w:r>
      <w:r>
        <w:rPr>
          <w:sz w:val="30"/>
          <w:szCs w:val="30"/>
        </w:rPr>
        <w:t>0%，以相关工序设备计；停止使用国四及以下重型载货车辆（含燃气）进行物料运输。</w:t>
      </w:r>
    </w:p>
    <w:p>
      <w:pPr>
        <w:overflowPunct w:val="0"/>
        <w:topLinePunct/>
        <w:spacing w:line="540" w:lineRule="exact"/>
        <w:ind w:firstLine="576" w:firstLineChars="200"/>
        <w:rPr>
          <w:sz w:val="30"/>
          <w:szCs w:val="30"/>
        </w:rPr>
      </w:pPr>
      <w:r>
        <w:rPr>
          <w:sz w:val="30"/>
          <w:szCs w:val="30"/>
        </w:rPr>
        <w:t>红色预警期间：矿石开采行业停止露天开采、破碎作业；</w:t>
      </w:r>
      <w:r>
        <w:rPr>
          <w:rFonts w:hint="eastAsia"/>
          <w:sz w:val="30"/>
          <w:szCs w:val="30"/>
        </w:rPr>
        <w:t>选矿行业</w:t>
      </w:r>
      <w:r>
        <w:rPr>
          <w:sz w:val="30"/>
          <w:szCs w:val="30"/>
        </w:rPr>
        <w:t>破碎、筛分、锯解、磨抛、裁切等涉气工序停产；停止使用国四及以下重型载货车辆（含燃气）进行物料运输。</w:t>
      </w:r>
    </w:p>
    <w:p>
      <w:pPr>
        <w:overflowPunct w:val="0"/>
        <w:topLinePunct/>
        <w:spacing w:line="540" w:lineRule="exact"/>
        <w:ind w:firstLine="576" w:firstLineChars="200"/>
        <w:rPr>
          <w:sz w:val="30"/>
          <w:szCs w:val="30"/>
        </w:rPr>
      </w:pPr>
      <w:r>
        <w:rPr>
          <w:sz w:val="30"/>
          <w:szCs w:val="30"/>
        </w:rPr>
        <w:t>3、C级企业</w:t>
      </w:r>
    </w:p>
    <w:p>
      <w:pPr>
        <w:overflowPunct w:val="0"/>
        <w:topLinePunct/>
        <w:spacing w:line="540" w:lineRule="exact"/>
        <w:ind w:firstLine="576" w:firstLineChars="200"/>
        <w:rPr>
          <w:sz w:val="30"/>
          <w:szCs w:val="30"/>
        </w:rPr>
      </w:pPr>
      <w:r>
        <w:rPr>
          <w:sz w:val="30"/>
          <w:szCs w:val="30"/>
        </w:rPr>
        <w:t>黄色及以上预警期间：矿石开采行业停止露天开采、破碎作业；选矿行业破碎、筛分、锯解、磨抛、裁切等涉气工序停产；停止使用国四及以下重型载货车辆（含燃气）进行物料运输。</w:t>
      </w:r>
    </w:p>
    <w:p>
      <w:pPr>
        <w:overflowPunct w:val="0"/>
        <w:topLinePunct/>
        <w:spacing w:line="540" w:lineRule="exact"/>
        <w:ind w:firstLine="576" w:firstLineChars="200"/>
        <w:rPr>
          <w:sz w:val="30"/>
          <w:szCs w:val="30"/>
        </w:rPr>
      </w:pPr>
      <w:r>
        <w:rPr>
          <w:sz w:val="30"/>
          <w:szCs w:val="30"/>
        </w:rPr>
        <w:t>4、石材加工企业</w:t>
      </w:r>
    </w:p>
    <w:p>
      <w:pPr>
        <w:overflowPunct w:val="0"/>
        <w:topLinePunct/>
        <w:spacing w:line="540" w:lineRule="exact"/>
        <w:ind w:firstLine="576" w:firstLineChars="200"/>
        <w:rPr>
          <w:sz w:val="30"/>
          <w:szCs w:val="30"/>
        </w:rPr>
      </w:pPr>
      <w:r>
        <w:rPr>
          <w:sz w:val="30"/>
          <w:szCs w:val="30"/>
        </w:rPr>
        <w:t>（1）引领性企业：</w:t>
      </w:r>
    </w:p>
    <w:p>
      <w:pPr>
        <w:overflowPunct w:val="0"/>
        <w:topLinePunct/>
        <w:spacing w:line="540" w:lineRule="exact"/>
        <w:ind w:firstLine="576" w:firstLineChars="200"/>
        <w:rPr>
          <w:sz w:val="30"/>
          <w:szCs w:val="30"/>
        </w:rPr>
      </w:pPr>
      <w:r>
        <w:rPr>
          <w:sz w:val="30"/>
          <w:szCs w:val="30"/>
        </w:rPr>
        <w:t>鼓励结合实际，自主采取减排措施。</w:t>
      </w:r>
    </w:p>
    <w:p>
      <w:pPr>
        <w:overflowPunct w:val="0"/>
        <w:topLinePunct/>
        <w:spacing w:line="540" w:lineRule="exact"/>
        <w:ind w:firstLine="576" w:firstLineChars="200"/>
        <w:rPr>
          <w:sz w:val="30"/>
          <w:szCs w:val="30"/>
        </w:rPr>
      </w:pPr>
      <w:r>
        <w:rPr>
          <w:sz w:val="30"/>
          <w:szCs w:val="30"/>
        </w:rPr>
        <w:t>（2）非引领型企业：</w:t>
      </w:r>
    </w:p>
    <w:p>
      <w:pPr>
        <w:overflowPunct w:val="0"/>
        <w:topLinePunct/>
        <w:spacing w:line="540" w:lineRule="exact"/>
        <w:ind w:firstLine="576" w:firstLineChars="200"/>
        <w:rPr>
          <w:sz w:val="30"/>
          <w:szCs w:val="30"/>
        </w:rPr>
      </w:pPr>
      <w:r>
        <w:rPr>
          <w:sz w:val="30"/>
          <w:szCs w:val="30"/>
        </w:rPr>
        <w:t>黄色预警期间：停止使用国四及以下重型载货车辆（含燃气）进行物料运输。</w:t>
      </w:r>
    </w:p>
    <w:p>
      <w:pPr>
        <w:overflowPunct w:val="0"/>
        <w:topLinePunct/>
        <w:spacing w:line="540" w:lineRule="exact"/>
        <w:ind w:firstLine="576" w:firstLineChars="200"/>
        <w:rPr>
          <w:rFonts w:eastAsia="宋体"/>
          <w:sz w:val="28"/>
          <w:szCs w:val="28"/>
        </w:rPr>
      </w:pPr>
      <w:r>
        <w:rPr>
          <w:sz w:val="30"/>
          <w:szCs w:val="30"/>
        </w:rPr>
        <w:t>橙色及以上预警期间：停产；停止使用国四及以下重型载货车辆（含燃气）进行物料运输。</w:t>
      </w:r>
    </w:p>
    <w:p>
      <w:pPr>
        <w:overflowPunct w:val="0"/>
        <w:topLinePunct/>
        <w:spacing w:line="540" w:lineRule="exact"/>
        <w:ind w:firstLine="576" w:firstLineChars="200"/>
        <w:outlineLvl w:val="2"/>
        <w:rPr>
          <w:rFonts w:eastAsia="楷体_GB2312"/>
          <w:kern w:val="0"/>
          <w:sz w:val="30"/>
          <w:szCs w:val="30"/>
        </w:rPr>
      </w:pPr>
      <w:bookmarkStart w:id="25" w:name="_Toc121413331"/>
      <w:bookmarkStart w:id="26" w:name="_Toc4318"/>
      <w:r>
        <w:rPr>
          <w:rFonts w:eastAsia="楷体_GB2312"/>
          <w:kern w:val="0"/>
          <w:sz w:val="30"/>
          <w:szCs w:val="30"/>
        </w:rPr>
        <w:t>（六）核查方法</w:t>
      </w:r>
      <w:bookmarkEnd w:id="25"/>
      <w:bookmarkEnd w:id="26"/>
    </w:p>
    <w:p>
      <w:pPr>
        <w:overflowPunct w:val="0"/>
        <w:topLinePunct/>
        <w:spacing w:line="540" w:lineRule="exact"/>
        <w:ind w:firstLine="576" w:firstLineChars="200"/>
        <w:rPr>
          <w:sz w:val="30"/>
          <w:szCs w:val="30"/>
        </w:rPr>
      </w:pPr>
      <w:r>
        <w:rPr>
          <w:sz w:val="30"/>
          <w:szCs w:val="30"/>
        </w:rPr>
        <w:t>1、电量分析：调取企业用电量情况，</w:t>
      </w:r>
      <w:r>
        <w:rPr>
          <w:rFonts w:hint="eastAsia"/>
          <w:sz w:val="30"/>
          <w:szCs w:val="30"/>
          <w:lang w:eastAsia="zh-CN"/>
        </w:rPr>
        <w:t>分析历史预警前后</w:t>
      </w:r>
      <w:r>
        <w:rPr>
          <w:sz w:val="30"/>
          <w:szCs w:val="30"/>
        </w:rPr>
        <w:t>企业用电量变化，比对采取减排措施期间的用电量</w:t>
      </w:r>
      <w:r>
        <w:rPr>
          <w:spacing w:val="0"/>
          <w:sz w:val="30"/>
          <w:szCs w:val="30"/>
        </w:rPr>
        <w:t>是否</w:t>
      </w:r>
      <w:r>
        <w:rPr>
          <w:rFonts w:hint="eastAsia"/>
          <w:spacing w:val="0"/>
          <w:sz w:val="30"/>
          <w:szCs w:val="30"/>
          <w:lang w:eastAsia="zh-CN"/>
        </w:rPr>
        <w:t>明显</w:t>
      </w:r>
      <w:r>
        <w:rPr>
          <w:spacing w:val="0"/>
          <w:sz w:val="30"/>
          <w:szCs w:val="30"/>
        </w:rPr>
        <w:t>下降</w:t>
      </w:r>
      <w:r>
        <w:rPr>
          <w:sz w:val="30"/>
          <w:szCs w:val="30"/>
        </w:rPr>
        <w:t>。</w:t>
      </w:r>
    </w:p>
    <w:p>
      <w:pPr>
        <w:overflowPunct w:val="0"/>
        <w:topLinePunct/>
        <w:spacing w:line="540" w:lineRule="exact"/>
        <w:ind w:firstLine="576" w:firstLineChars="200"/>
        <w:rPr>
          <w:sz w:val="30"/>
          <w:szCs w:val="30"/>
        </w:rPr>
      </w:pPr>
      <w:r>
        <w:rPr>
          <w:sz w:val="30"/>
          <w:szCs w:val="30"/>
        </w:rPr>
        <w:t>2、现场核查：查看露天作业、装卸点、破碎、筛分等主要涉气工序设备停产停运情况。</w:t>
      </w:r>
    </w:p>
    <w:p>
      <w:pPr>
        <w:overflowPunct w:val="0"/>
        <w:topLinePunct/>
        <w:spacing w:line="540" w:lineRule="exact"/>
        <w:ind w:firstLine="576" w:firstLineChars="200"/>
        <w:rPr>
          <w:sz w:val="30"/>
          <w:szCs w:val="30"/>
        </w:rPr>
      </w:pPr>
      <w:r>
        <w:rPr>
          <w:sz w:val="30"/>
          <w:szCs w:val="30"/>
        </w:rPr>
        <w:t>3、台账核查：重点核查生产设施开停机记录表；核查企业生产台账记录。</w:t>
      </w:r>
    </w:p>
    <w:p>
      <w:pPr>
        <w:overflowPunct w:val="0"/>
        <w:topLinePunct/>
        <w:spacing w:line="540" w:lineRule="exact"/>
        <w:ind w:firstLine="576" w:firstLineChars="200"/>
        <w:rPr>
          <w:sz w:val="30"/>
          <w:szCs w:val="30"/>
        </w:rPr>
      </w:pPr>
      <w:r>
        <w:rPr>
          <w:sz w:val="30"/>
          <w:szCs w:val="30"/>
        </w:rPr>
        <w:t>4、运输核查：</w:t>
      </w:r>
      <w:r>
        <w:rPr>
          <w:spacing w:val="0"/>
          <w:sz w:val="30"/>
          <w:szCs w:val="30"/>
        </w:rPr>
        <w:t>调取厂区</w:t>
      </w:r>
      <w:r>
        <w:rPr>
          <w:sz w:val="30"/>
          <w:szCs w:val="30"/>
        </w:rPr>
        <w:t>货运进出口视频监控</w:t>
      </w:r>
      <w:r>
        <w:rPr>
          <w:spacing w:val="0"/>
          <w:sz w:val="30"/>
          <w:szCs w:val="30"/>
        </w:rPr>
        <w:t>记录，比对预警前后厂区</w:t>
      </w:r>
      <w:r>
        <w:rPr>
          <w:rFonts w:hint="eastAsia"/>
          <w:spacing w:val="0"/>
          <w:sz w:val="30"/>
          <w:szCs w:val="30"/>
          <w:lang w:eastAsia="zh-CN"/>
        </w:rPr>
        <w:t>汽车运输情况，检查</w:t>
      </w:r>
      <w:r>
        <w:rPr>
          <w:spacing w:val="0"/>
          <w:sz w:val="30"/>
          <w:szCs w:val="30"/>
        </w:rPr>
        <w:t>是否符合要求；现场抽查</w:t>
      </w:r>
      <w:r>
        <w:rPr>
          <w:rFonts w:hint="eastAsia"/>
          <w:spacing w:val="0"/>
          <w:sz w:val="30"/>
          <w:szCs w:val="30"/>
          <w:lang w:eastAsia="zh-CN"/>
        </w:rPr>
        <w:t>运输</w:t>
      </w:r>
      <w:r>
        <w:rPr>
          <w:spacing w:val="0"/>
          <w:sz w:val="30"/>
          <w:szCs w:val="30"/>
        </w:rPr>
        <w:t>车辆</w:t>
      </w:r>
      <w:r>
        <w:rPr>
          <w:rFonts w:hint="eastAsia"/>
          <w:spacing w:val="0"/>
          <w:sz w:val="30"/>
          <w:szCs w:val="30"/>
          <w:lang w:eastAsia="zh-CN"/>
        </w:rPr>
        <w:t>，</w:t>
      </w:r>
      <w:r>
        <w:rPr>
          <w:spacing w:val="0"/>
          <w:sz w:val="30"/>
          <w:szCs w:val="30"/>
        </w:rPr>
        <w:t>核查排放</w:t>
      </w:r>
      <w:r>
        <w:rPr>
          <w:rFonts w:hint="eastAsia"/>
          <w:spacing w:val="0"/>
          <w:sz w:val="30"/>
          <w:szCs w:val="30"/>
          <w:lang w:eastAsia="zh-CN"/>
        </w:rPr>
        <w:t>标准</w:t>
      </w:r>
      <w:r>
        <w:rPr>
          <w:spacing w:val="0"/>
          <w:sz w:val="30"/>
          <w:szCs w:val="30"/>
        </w:rPr>
        <w:t>是否符合要求。</w:t>
      </w:r>
    </w:p>
    <w:p>
      <w:pPr>
        <w:overflowPunct w:val="0"/>
        <w:topLinePunct/>
        <w:spacing w:line="540" w:lineRule="exact"/>
        <w:ind w:firstLine="576" w:firstLineChars="200"/>
        <w:outlineLvl w:val="1"/>
        <w:rPr>
          <w:rFonts w:eastAsia="黑体"/>
          <w:kern w:val="0"/>
          <w:sz w:val="30"/>
          <w:szCs w:val="30"/>
        </w:rPr>
      </w:pPr>
      <w:bookmarkStart w:id="27" w:name="_Toc1500"/>
      <w:bookmarkStart w:id="28" w:name="_Toc121413332"/>
      <w:r>
        <w:rPr>
          <w:rFonts w:eastAsia="黑体"/>
          <w:kern w:val="0"/>
          <w:sz w:val="30"/>
          <w:szCs w:val="30"/>
        </w:rPr>
        <w:t>三、肥料制造（除煤制氮肥）</w:t>
      </w:r>
      <w:bookmarkEnd w:id="27"/>
      <w:bookmarkEnd w:id="28"/>
    </w:p>
    <w:p>
      <w:pPr>
        <w:overflowPunct w:val="0"/>
        <w:topLinePunct/>
        <w:spacing w:line="540" w:lineRule="exact"/>
        <w:ind w:firstLine="576" w:firstLineChars="200"/>
        <w:outlineLvl w:val="2"/>
        <w:rPr>
          <w:rFonts w:eastAsia="楷体_GB2312"/>
          <w:kern w:val="0"/>
          <w:sz w:val="30"/>
          <w:szCs w:val="30"/>
        </w:rPr>
      </w:pPr>
      <w:bookmarkStart w:id="29" w:name="_Toc6593"/>
      <w:bookmarkStart w:id="30" w:name="_Toc121413333"/>
      <w:r>
        <w:rPr>
          <w:rFonts w:eastAsia="楷体_GB2312"/>
          <w:kern w:val="0"/>
          <w:sz w:val="30"/>
          <w:szCs w:val="30"/>
        </w:rPr>
        <w:t>（一）适用范围</w:t>
      </w:r>
      <w:bookmarkEnd w:id="29"/>
      <w:bookmarkEnd w:id="30"/>
    </w:p>
    <w:p>
      <w:pPr>
        <w:overflowPunct w:val="0"/>
        <w:topLinePunct/>
        <w:spacing w:line="540" w:lineRule="exact"/>
        <w:ind w:firstLine="576" w:firstLineChars="200"/>
        <w:rPr>
          <w:sz w:val="30"/>
          <w:szCs w:val="30"/>
        </w:rPr>
      </w:pPr>
      <w:r>
        <w:rPr>
          <w:sz w:val="30"/>
          <w:szCs w:val="30"/>
        </w:rPr>
        <w:t>适用于《国民经济行业分类》（GB/T4754-2017）中的C2621氮肥制造、C2622磷肥制造、C2623钾肥制造、C2624复混肥制造和C2625有机肥料及微生物肥料制造业。不包括《重污染天气重点行业应急减排措施制定技术指南》中的煤制氮肥企业。</w:t>
      </w:r>
    </w:p>
    <w:p>
      <w:pPr>
        <w:overflowPunct w:val="0"/>
        <w:topLinePunct/>
        <w:spacing w:line="540" w:lineRule="exact"/>
        <w:ind w:firstLine="576" w:firstLineChars="200"/>
        <w:outlineLvl w:val="2"/>
        <w:rPr>
          <w:rFonts w:eastAsia="楷体_GB2312"/>
          <w:kern w:val="0"/>
          <w:sz w:val="30"/>
          <w:szCs w:val="30"/>
        </w:rPr>
      </w:pPr>
      <w:bookmarkStart w:id="31" w:name="_Toc121413334"/>
      <w:bookmarkStart w:id="32" w:name="_Toc22758"/>
      <w:r>
        <w:rPr>
          <w:rFonts w:eastAsia="楷体_GB2312"/>
          <w:kern w:val="0"/>
          <w:sz w:val="30"/>
          <w:szCs w:val="30"/>
        </w:rPr>
        <w:t>（二）生产工艺</w:t>
      </w:r>
      <w:bookmarkEnd w:id="31"/>
      <w:bookmarkEnd w:id="32"/>
    </w:p>
    <w:p>
      <w:pPr>
        <w:overflowPunct w:val="0"/>
        <w:topLinePunct/>
        <w:spacing w:line="540" w:lineRule="exact"/>
        <w:ind w:firstLine="576" w:firstLineChars="200"/>
        <w:rPr>
          <w:sz w:val="30"/>
          <w:szCs w:val="30"/>
        </w:rPr>
      </w:pPr>
      <w:r>
        <w:rPr>
          <w:sz w:val="30"/>
          <w:szCs w:val="30"/>
        </w:rPr>
        <w:t>1、主要生产工艺：</w:t>
      </w:r>
    </w:p>
    <w:p>
      <w:pPr>
        <w:overflowPunct w:val="0"/>
        <w:topLinePunct/>
        <w:spacing w:line="540" w:lineRule="exact"/>
        <w:ind w:firstLine="576" w:firstLineChars="200"/>
        <w:rPr>
          <w:sz w:val="30"/>
          <w:szCs w:val="30"/>
        </w:rPr>
      </w:pPr>
      <w:r>
        <w:rPr>
          <w:sz w:val="30"/>
          <w:szCs w:val="30"/>
        </w:rPr>
        <w:t>氮肥制造：原料气制备、原料气净化、洗涤、造粒、包装等。</w:t>
      </w:r>
    </w:p>
    <w:p>
      <w:pPr>
        <w:overflowPunct w:val="0"/>
        <w:topLinePunct/>
        <w:spacing w:line="540" w:lineRule="exact"/>
        <w:ind w:firstLine="576" w:firstLineChars="200"/>
        <w:rPr>
          <w:sz w:val="30"/>
          <w:szCs w:val="30"/>
        </w:rPr>
      </w:pPr>
      <w:r>
        <w:rPr>
          <w:sz w:val="30"/>
          <w:szCs w:val="30"/>
        </w:rPr>
        <w:t>磷肥制造：备料、酸解、中和、过滤、转化、造粒、熔料、干燥、筛分、破碎、冷却、包装等。</w:t>
      </w:r>
    </w:p>
    <w:p>
      <w:pPr>
        <w:overflowPunct w:val="0"/>
        <w:topLinePunct/>
        <w:spacing w:line="540" w:lineRule="exact"/>
        <w:ind w:firstLine="576" w:firstLineChars="200"/>
        <w:rPr>
          <w:sz w:val="30"/>
          <w:szCs w:val="30"/>
        </w:rPr>
      </w:pPr>
      <w:r>
        <w:rPr>
          <w:sz w:val="30"/>
          <w:szCs w:val="30"/>
        </w:rPr>
        <w:t>钾肥制造：备料、造粒、复分解、干燥、破碎、冷却、包装等。</w:t>
      </w:r>
    </w:p>
    <w:p>
      <w:pPr>
        <w:overflowPunct w:val="0"/>
        <w:topLinePunct/>
        <w:spacing w:line="540" w:lineRule="exact"/>
        <w:ind w:firstLine="576" w:firstLineChars="200"/>
        <w:rPr>
          <w:sz w:val="30"/>
          <w:szCs w:val="30"/>
        </w:rPr>
      </w:pPr>
      <w:r>
        <w:rPr>
          <w:sz w:val="30"/>
          <w:szCs w:val="30"/>
        </w:rPr>
        <w:t>复混肥制造：备料、复分解、中和、造粒、干燥、掺混、筛分、破碎、冷却、包装等。</w:t>
      </w:r>
    </w:p>
    <w:p>
      <w:pPr>
        <w:overflowPunct w:val="0"/>
        <w:topLinePunct/>
        <w:spacing w:line="540" w:lineRule="exact"/>
        <w:ind w:firstLine="576" w:firstLineChars="200"/>
        <w:rPr>
          <w:sz w:val="30"/>
          <w:szCs w:val="30"/>
        </w:rPr>
      </w:pPr>
      <w:r>
        <w:rPr>
          <w:sz w:val="30"/>
          <w:szCs w:val="30"/>
        </w:rPr>
        <w:t>有机肥料及微生物肥料：备料、接种、发酵、造粒、干燥、筛分、破碎、冷却、包装等。</w:t>
      </w:r>
    </w:p>
    <w:p>
      <w:pPr>
        <w:overflowPunct w:val="0"/>
        <w:topLinePunct/>
        <w:spacing w:line="540" w:lineRule="exact"/>
        <w:ind w:firstLine="576" w:firstLineChars="200"/>
        <w:rPr>
          <w:sz w:val="30"/>
          <w:szCs w:val="30"/>
        </w:rPr>
      </w:pPr>
      <w:r>
        <w:rPr>
          <w:sz w:val="30"/>
          <w:szCs w:val="30"/>
        </w:rPr>
        <w:t>2、主要原辅材料：</w:t>
      </w:r>
    </w:p>
    <w:p>
      <w:pPr>
        <w:overflowPunct w:val="0"/>
        <w:topLinePunct/>
        <w:spacing w:line="540" w:lineRule="exact"/>
        <w:ind w:firstLine="576" w:firstLineChars="200"/>
        <w:rPr>
          <w:sz w:val="30"/>
          <w:szCs w:val="30"/>
        </w:rPr>
      </w:pPr>
      <w:r>
        <w:rPr>
          <w:sz w:val="30"/>
          <w:szCs w:val="30"/>
        </w:rPr>
        <w:t>氮肥制造：以天然气为原料。</w:t>
      </w:r>
    </w:p>
    <w:p>
      <w:pPr>
        <w:overflowPunct w:val="0"/>
        <w:topLinePunct/>
        <w:spacing w:line="540" w:lineRule="exact"/>
        <w:ind w:firstLine="576" w:firstLineChars="200"/>
        <w:rPr>
          <w:sz w:val="30"/>
          <w:szCs w:val="30"/>
        </w:rPr>
      </w:pPr>
      <w:r>
        <w:rPr>
          <w:sz w:val="30"/>
          <w:szCs w:val="30"/>
        </w:rPr>
        <w:t>磷肥制造：以磷矿、硫酸等为原料。</w:t>
      </w:r>
    </w:p>
    <w:p>
      <w:pPr>
        <w:overflowPunct w:val="0"/>
        <w:topLinePunct/>
        <w:spacing w:line="540" w:lineRule="exact"/>
        <w:ind w:firstLine="576" w:firstLineChars="200"/>
        <w:rPr>
          <w:sz w:val="30"/>
          <w:szCs w:val="30"/>
        </w:rPr>
      </w:pPr>
      <w:r>
        <w:rPr>
          <w:sz w:val="30"/>
          <w:szCs w:val="30"/>
        </w:rPr>
        <w:t>钾肥制造：以氯化钾、硫酸、</w:t>
      </w:r>
      <w:r>
        <w:rPr>
          <w:rFonts w:hint="eastAsia"/>
          <w:sz w:val="30"/>
          <w:szCs w:val="30"/>
        </w:rPr>
        <w:t>氨（</w:t>
      </w:r>
      <w:r>
        <w:rPr>
          <w:sz w:val="30"/>
          <w:szCs w:val="30"/>
        </w:rPr>
        <w:t>NH</w:t>
      </w:r>
      <w:r>
        <w:rPr>
          <w:sz w:val="30"/>
          <w:szCs w:val="30"/>
          <w:vertAlign w:val="subscript"/>
        </w:rPr>
        <w:t>3</w:t>
      </w:r>
      <w:r>
        <w:rPr>
          <w:rFonts w:hint="eastAsia"/>
          <w:sz w:val="30"/>
          <w:szCs w:val="30"/>
        </w:rPr>
        <w:t>）</w:t>
      </w:r>
      <w:r>
        <w:rPr>
          <w:sz w:val="30"/>
          <w:szCs w:val="30"/>
        </w:rPr>
        <w:t>、氧化镁、硝酸铵、氢氧化钾、碳酸钾、磷酸等为原料。</w:t>
      </w:r>
    </w:p>
    <w:p>
      <w:pPr>
        <w:overflowPunct w:val="0"/>
        <w:topLinePunct/>
        <w:spacing w:line="540" w:lineRule="exact"/>
        <w:ind w:firstLine="576" w:firstLineChars="200"/>
        <w:rPr>
          <w:sz w:val="30"/>
          <w:szCs w:val="30"/>
        </w:rPr>
      </w:pPr>
      <w:r>
        <w:rPr>
          <w:sz w:val="30"/>
          <w:szCs w:val="30"/>
        </w:rPr>
        <w:t>复混肥制造：以磷酸一铵、氯化铵、硫酸铵、氯化钾、硫酸钾、尿素、碳酸氢铵、硫酸、液氨、磷酸、有机肥料等为原料。</w:t>
      </w:r>
    </w:p>
    <w:p>
      <w:pPr>
        <w:overflowPunct w:val="0"/>
        <w:topLinePunct/>
        <w:spacing w:line="540" w:lineRule="exact"/>
        <w:ind w:firstLine="576" w:firstLineChars="200"/>
        <w:rPr>
          <w:sz w:val="30"/>
          <w:szCs w:val="30"/>
        </w:rPr>
      </w:pPr>
      <w:r>
        <w:rPr>
          <w:sz w:val="30"/>
          <w:szCs w:val="30"/>
        </w:rPr>
        <w:t>有机肥料及微生物肥料：以粪便、动植物残体、秸秆、农林废弃物类、微生物等为原料。</w:t>
      </w:r>
    </w:p>
    <w:p>
      <w:pPr>
        <w:overflowPunct w:val="0"/>
        <w:topLinePunct/>
        <w:spacing w:line="540" w:lineRule="exact"/>
        <w:ind w:firstLine="576" w:firstLineChars="200"/>
        <w:rPr>
          <w:rFonts w:eastAsia="宋体"/>
          <w:sz w:val="28"/>
          <w:szCs w:val="28"/>
        </w:rPr>
      </w:pPr>
      <w:r>
        <w:rPr>
          <w:sz w:val="30"/>
          <w:szCs w:val="30"/>
        </w:rPr>
        <w:t>3、主要能源：燃料煤、燃料油、燃料气、天然气、液化石油气、电等。</w:t>
      </w:r>
    </w:p>
    <w:p>
      <w:pPr>
        <w:overflowPunct w:val="0"/>
        <w:topLinePunct/>
        <w:spacing w:line="540" w:lineRule="exact"/>
        <w:ind w:firstLine="576" w:firstLineChars="200"/>
        <w:outlineLvl w:val="2"/>
        <w:rPr>
          <w:rFonts w:eastAsia="楷体_GB2312"/>
          <w:kern w:val="0"/>
          <w:sz w:val="30"/>
          <w:szCs w:val="30"/>
        </w:rPr>
      </w:pPr>
      <w:bookmarkStart w:id="33" w:name="_Toc28838"/>
      <w:bookmarkStart w:id="34" w:name="_Toc121413335"/>
      <w:r>
        <w:rPr>
          <w:rFonts w:eastAsia="楷体_GB2312"/>
          <w:kern w:val="0"/>
          <w:sz w:val="30"/>
          <w:szCs w:val="30"/>
        </w:rPr>
        <w:t>（三）主要污染物产排环节</w:t>
      </w:r>
      <w:bookmarkEnd w:id="33"/>
      <w:bookmarkEnd w:id="34"/>
    </w:p>
    <w:p>
      <w:pPr>
        <w:overflowPunct w:val="0"/>
        <w:topLinePunct/>
        <w:spacing w:line="540" w:lineRule="exact"/>
        <w:ind w:firstLine="576" w:firstLineChars="200"/>
        <w:rPr>
          <w:sz w:val="30"/>
          <w:szCs w:val="30"/>
        </w:rPr>
      </w:pPr>
      <w:r>
        <w:rPr>
          <w:sz w:val="30"/>
          <w:szCs w:val="30"/>
        </w:rPr>
        <w:t>1、氮肥制造</w:t>
      </w:r>
    </w:p>
    <w:p>
      <w:pPr>
        <w:overflowPunct w:val="0"/>
        <w:topLinePunct/>
        <w:spacing w:line="540" w:lineRule="exact"/>
        <w:ind w:firstLine="576" w:firstLineChars="200"/>
        <w:rPr>
          <w:sz w:val="30"/>
          <w:szCs w:val="30"/>
        </w:rPr>
      </w:pPr>
      <w:r>
        <w:rPr>
          <w:rFonts w:hint="eastAsia"/>
          <w:sz w:val="30"/>
          <w:szCs w:val="30"/>
        </w:rPr>
        <w:t>颗粒物（</w:t>
      </w:r>
      <w:r>
        <w:rPr>
          <w:sz w:val="30"/>
          <w:szCs w:val="30"/>
        </w:rPr>
        <w:t>PM</w:t>
      </w:r>
      <w:r>
        <w:rPr>
          <w:rFonts w:hint="eastAsia"/>
          <w:sz w:val="30"/>
          <w:szCs w:val="30"/>
        </w:rPr>
        <w:t>）</w:t>
      </w:r>
      <w:r>
        <w:rPr>
          <w:sz w:val="30"/>
          <w:szCs w:val="30"/>
        </w:rPr>
        <w:t>：主要来自锅炉、转化炉、洗涤塔、造粒塔（机）、包装机的有组织排放。</w:t>
      </w:r>
    </w:p>
    <w:p>
      <w:pPr>
        <w:overflowPunct w:val="0"/>
        <w:topLinePunct/>
        <w:spacing w:line="540" w:lineRule="exact"/>
        <w:ind w:firstLine="576" w:firstLineChars="200"/>
        <w:rPr>
          <w:sz w:val="30"/>
          <w:szCs w:val="30"/>
        </w:rPr>
      </w:pPr>
      <w:r>
        <w:rPr>
          <w:rFonts w:hint="eastAsia"/>
          <w:sz w:val="30"/>
          <w:szCs w:val="30"/>
        </w:rPr>
        <w:t>二氧化硫（</w:t>
      </w:r>
      <w:r>
        <w:rPr>
          <w:sz w:val="30"/>
          <w:szCs w:val="30"/>
        </w:rPr>
        <w:t>SO</w:t>
      </w:r>
      <w:r>
        <w:rPr>
          <w:sz w:val="30"/>
          <w:szCs w:val="30"/>
          <w:vertAlign w:val="subscript"/>
        </w:rPr>
        <w:t>2</w:t>
      </w:r>
      <w:r>
        <w:rPr>
          <w:rFonts w:hint="eastAsia"/>
          <w:sz w:val="30"/>
          <w:szCs w:val="30"/>
        </w:rPr>
        <w:t>）</w:t>
      </w:r>
      <w:r>
        <w:rPr>
          <w:sz w:val="30"/>
          <w:szCs w:val="30"/>
        </w:rPr>
        <w:t>：主要来自锅炉的有组织排放。</w:t>
      </w:r>
    </w:p>
    <w:p>
      <w:pPr>
        <w:overflowPunct w:val="0"/>
        <w:topLinePunct/>
        <w:spacing w:line="540" w:lineRule="exact"/>
        <w:ind w:firstLine="576" w:firstLineChars="200"/>
        <w:rPr>
          <w:sz w:val="30"/>
          <w:szCs w:val="30"/>
        </w:rPr>
      </w:pPr>
      <w:r>
        <w:rPr>
          <w:rFonts w:hint="eastAsia"/>
          <w:sz w:val="30"/>
          <w:szCs w:val="30"/>
        </w:rPr>
        <w:t>氮氧化物（</w:t>
      </w:r>
      <w:r>
        <w:rPr>
          <w:sz w:val="30"/>
          <w:szCs w:val="30"/>
        </w:rPr>
        <w:t>NO</w:t>
      </w:r>
      <w:r>
        <w:rPr>
          <w:i/>
          <w:iCs/>
          <w:sz w:val="30"/>
          <w:szCs w:val="30"/>
          <w:vertAlign w:val="subscript"/>
        </w:rPr>
        <w:t>x</w:t>
      </w:r>
      <w:r>
        <w:rPr>
          <w:rFonts w:hint="eastAsia"/>
          <w:sz w:val="30"/>
          <w:szCs w:val="30"/>
        </w:rPr>
        <w:t>）</w:t>
      </w:r>
      <w:r>
        <w:rPr>
          <w:sz w:val="30"/>
          <w:szCs w:val="30"/>
        </w:rPr>
        <w:t>：主要来自锅炉、转化炉的有组织排放。</w:t>
      </w:r>
    </w:p>
    <w:p>
      <w:pPr>
        <w:overflowPunct w:val="0"/>
        <w:topLinePunct/>
        <w:spacing w:line="540" w:lineRule="exact"/>
        <w:ind w:firstLine="576" w:firstLineChars="200"/>
        <w:rPr>
          <w:sz w:val="30"/>
          <w:szCs w:val="30"/>
        </w:rPr>
      </w:pPr>
      <w:r>
        <w:rPr>
          <w:sz w:val="30"/>
          <w:szCs w:val="30"/>
        </w:rPr>
        <w:t>NH</w:t>
      </w:r>
      <w:r>
        <w:rPr>
          <w:sz w:val="30"/>
          <w:szCs w:val="30"/>
          <w:vertAlign w:val="subscript"/>
        </w:rPr>
        <w:t>3</w:t>
      </w:r>
      <w:r>
        <w:rPr>
          <w:sz w:val="30"/>
          <w:szCs w:val="30"/>
        </w:rPr>
        <w:t>：主要来自洗涤塔、造粒塔（机）、污水处理厂的有组织排放。</w:t>
      </w:r>
    </w:p>
    <w:p>
      <w:pPr>
        <w:overflowPunct w:val="0"/>
        <w:topLinePunct/>
        <w:spacing w:line="540" w:lineRule="exact"/>
        <w:ind w:firstLine="576" w:firstLineChars="200"/>
        <w:rPr>
          <w:sz w:val="30"/>
          <w:szCs w:val="30"/>
        </w:rPr>
      </w:pPr>
      <w:r>
        <w:rPr>
          <w:sz w:val="30"/>
          <w:szCs w:val="30"/>
        </w:rPr>
        <w:t>恶臭</w:t>
      </w:r>
      <w:r>
        <w:rPr>
          <w:rFonts w:hint="eastAsia"/>
          <w:sz w:val="30"/>
          <w:szCs w:val="30"/>
          <w:lang w:eastAsia="zh-CN"/>
        </w:rPr>
        <w:t>（</w:t>
      </w:r>
      <w:r>
        <w:rPr>
          <w:rFonts w:hint="eastAsia"/>
          <w:sz w:val="30"/>
          <w:szCs w:val="30"/>
          <w:lang w:val="en-US" w:eastAsia="zh-CN"/>
        </w:rPr>
        <w:t>H</w:t>
      </w:r>
      <w:r>
        <w:rPr>
          <w:rFonts w:hint="eastAsia"/>
          <w:sz w:val="30"/>
          <w:szCs w:val="30"/>
          <w:vertAlign w:val="subscript"/>
          <w:lang w:val="en-US" w:eastAsia="zh-CN"/>
        </w:rPr>
        <w:t>2</w:t>
      </w:r>
      <w:r>
        <w:rPr>
          <w:rFonts w:hint="eastAsia"/>
          <w:sz w:val="30"/>
          <w:szCs w:val="30"/>
          <w:lang w:val="en-US" w:eastAsia="zh-CN"/>
        </w:rPr>
        <w:t>S）</w:t>
      </w:r>
      <w:r>
        <w:rPr>
          <w:sz w:val="30"/>
          <w:szCs w:val="30"/>
        </w:rPr>
        <w:t>：主要来自污水处理厂。</w:t>
      </w:r>
    </w:p>
    <w:p>
      <w:pPr>
        <w:overflowPunct w:val="0"/>
        <w:topLinePunct/>
        <w:spacing w:line="540" w:lineRule="exact"/>
        <w:ind w:firstLine="576" w:firstLineChars="200"/>
        <w:rPr>
          <w:sz w:val="30"/>
          <w:szCs w:val="30"/>
        </w:rPr>
      </w:pPr>
      <w:r>
        <w:rPr>
          <w:sz w:val="30"/>
          <w:szCs w:val="30"/>
        </w:rPr>
        <w:t>2、磷肥制造</w:t>
      </w:r>
    </w:p>
    <w:p>
      <w:pPr>
        <w:overflowPunct w:val="0"/>
        <w:topLinePunct/>
        <w:spacing w:line="540" w:lineRule="exact"/>
        <w:ind w:firstLine="576" w:firstLineChars="200"/>
        <w:rPr>
          <w:sz w:val="30"/>
          <w:szCs w:val="30"/>
        </w:rPr>
      </w:pPr>
      <w:r>
        <w:rPr>
          <w:sz w:val="30"/>
          <w:szCs w:val="30"/>
        </w:rPr>
        <w:t>PM：主要来自锅炉、备料、熔料、造粒、干燥、筛分、破碎、冷却、包装等工序的有组织排放。</w:t>
      </w:r>
    </w:p>
    <w:p>
      <w:pPr>
        <w:overflowPunct w:val="0"/>
        <w:topLinePunct/>
        <w:spacing w:line="540" w:lineRule="exact"/>
        <w:ind w:firstLine="576" w:firstLineChars="200"/>
        <w:rPr>
          <w:sz w:val="30"/>
          <w:szCs w:val="30"/>
        </w:rPr>
      </w:pPr>
      <w:r>
        <w:rPr>
          <w:sz w:val="30"/>
          <w:szCs w:val="30"/>
        </w:rPr>
        <w:t>SO</w:t>
      </w:r>
      <w:r>
        <w:rPr>
          <w:sz w:val="30"/>
          <w:szCs w:val="30"/>
          <w:vertAlign w:val="subscript"/>
        </w:rPr>
        <w:t>2</w:t>
      </w:r>
      <w:r>
        <w:rPr>
          <w:sz w:val="30"/>
          <w:szCs w:val="30"/>
        </w:rPr>
        <w:t>：主要来自锅炉、备料、熔料、干燥等工序的有组织排放。</w:t>
      </w:r>
    </w:p>
    <w:p>
      <w:pPr>
        <w:overflowPunct w:val="0"/>
        <w:topLinePunct/>
        <w:spacing w:line="540" w:lineRule="exact"/>
        <w:ind w:firstLine="576" w:firstLineChars="200"/>
        <w:rPr>
          <w:sz w:val="30"/>
          <w:szCs w:val="30"/>
        </w:rPr>
      </w:pPr>
      <w:r>
        <w:rPr>
          <w:sz w:val="30"/>
          <w:szCs w:val="30"/>
        </w:rPr>
        <w:t>NO</w:t>
      </w:r>
      <w:r>
        <w:rPr>
          <w:i/>
          <w:iCs/>
          <w:sz w:val="30"/>
          <w:szCs w:val="30"/>
          <w:vertAlign w:val="subscript"/>
        </w:rPr>
        <w:t>x</w:t>
      </w:r>
      <w:r>
        <w:rPr>
          <w:sz w:val="30"/>
          <w:szCs w:val="30"/>
        </w:rPr>
        <w:t>：主要来自锅炉、备料、酸解、熔料、干燥等工序的有组织排放。</w:t>
      </w:r>
    </w:p>
    <w:p>
      <w:pPr>
        <w:overflowPunct w:val="0"/>
        <w:topLinePunct/>
        <w:spacing w:line="540" w:lineRule="exact"/>
        <w:ind w:firstLine="576" w:firstLineChars="200"/>
        <w:rPr>
          <w:sz w:val="30"/>
          <w:szCs w:val="30"/>
        </w:rPr>
      </w:pPr>
      <w:r>
        <w:rPr>
          <w:sz w:val="30"/>
          <w:szCs w:val="30"/>
        </w:rPr>
        <w:t>NH</w:t>
      </w:r>
      <w:r>
        <w:rPr>
          <w:sz w:val="30"/>
          <w:szCs w:val="30"/>
          <w:vertAlign w:val="subscript"/>
        </w:rPr>
        <w:t>3</w:t>
      </w:r>
      <w:r>
        <w:rPr>
          <w:sz w:val="30"/>
          <w:szCs w:val="30"/>
        </w:rPr>
        <w:t>：主要来自于中和、转化、造粒等工序的有组织排放。</w:t>
      </w:r>
    </w:p>
    <w:p>
      <w:pPr>
        <w:overflowPunct w:val="0"/>
        <w:topLinePunct/>
        <w:spacing w:line="540" w:lineRule="exact"/>
        <w:ind w:firstLine="576" w:firstLineChars="200"/>
        <w:rPr>
          <w:sz w:val="30"/>
          <w:szCs w:val="30"/>
        </w:rPr>
      </w:pPr>
      <w:r>
        <w:rPr>
          <w:sz w:val="30"/>
          <w:szCs w:val="30"/>
        </w:rPr>
        <w:t>氟化物：主要来自酸解、过滤、造粒、干燥、熔料等工序的有组织排放。</w:t>
      </w:r>
    </w:p>
    <w:p>
      <w:pPr>
        <w:overflowPunct w:val="0"/>
        <w:topLinePunct/>
        <w:spacing w:line="540" w:lineRule="exact"/>
        <w:ind w:firstLine="576" w:firstLineChars="200"/>
        <w:rPr>
          <w:sz w:val="30"/>
          <w:szCs w:val="30"/>
        </w:rPr>
      </w:pPr>
      <w:r>
        <w:rPr>
          <w:sz w:val="30"/>
          <w:szCs w:val="30"/>
        </w:rPr>
        <w:t>硫酸雾：主要来自酸解工序的有组织排放。</w:t>
      </w:r>
    </w:p>
    <w:p>
      <w:pPr>
        <w:overflowPunct w:val="0"/>
        <w:topLinePunct/>
        <w:spacing w:line="540" w:lineRule="exact"/>
        <w:ind w:firstLine="576" w:firstLineChars="200"/>
        <w:rPr>
          <w:sz w:val="30"/>
          <w:szCs w:val="30"/>
        </w:rPr>
      </w:pPr>
      <w:r>
        <w:rPr>
          <w:sz w:val="30"/>
          <w:szCs w:val="30"/>
        </w:rPr>
        <w:t>3、钾肥制造</w:t>
      </w:r>
    </w:p>
    <w:p>
      <w:pPr>
        <w:overflowPunct w:val="0"/>
        <w:topLinePunct/>
        <w:spacing w:line="540" w:lineRule="exact"/>
        <w:ind w:firstLine="576" w:firstLineChars="200"/>
        <w:rPr>
          <w:sz w:val="30"/>
          <w:szCs w:val="30"/>
        </w:rPr>
      </w:pPr>
      <w:r>
        <w:rPr>
          <w:sz w:val="30"/>
          <w:szCs w:val="30"/>
        </w:rPr>
        <w:t>PM：主要来自锅炉、造粒、干燥、复分解、冷却、破碎、包装等工序的有组织排放。</w:t>
      </w:r>
    </w:p>
    <w:p>
      <w:pPr>
        <w:overflowPunct w:val="0"/>
        <w:topLinePunct/>
        <w:spacing w:line="540" w:lineRule="exact"/>
        <w:ind w:firstLine="576" w:firstLineChars="200"/>
        <w:rPr>
          <w:sz w:val="30"/>
          <w:szCs w:val="30"/>
        </w:rPr>
      </w:pPr>
      <w:r>
        <w:rPr>
          <w:sz w:val="30"/>
          <w:szCs w:val="30"/>
        </w:rPr>
        <w:t>SO</w:t>
      </w:r>
      <w:r>
        <w:rPr>
          <w:sz w:val="30"/>
          <w:szCs w:val="30"/>
          <w:vertAlign w:val="subscript"/>
        </w:rPr>
        <w:t>2</w:t>
      </w:r>
      <w:r>
        <w:rPr>
          <w:sz w:val="30"/>
          <w:szCs w:val="30"/>
        </w:rPr>
        <w:t>：主要来自锅炉、干燥、复分解等工序的有组织排放。</w:t>
      </w:r>
    </w:p>
    <w:p>
      <w:pPr>
        <w:overflowPunct w:val="0"/>
        <w:topLinePunct/>
        <w:spacing w:line="540" w:lineRule="exact"/>
        <w:ind w:firstLine="576" w:firstLineChars="200"/>
        <w:rPr>
          <w:sz w:val="30"/>
          <w:szCs w:val="30"/>
        </w:rPr>
      </w:pPr>
      <w:r>
        <w:rPr>
          <w:sz w:val="30"/>
          <w:szCs w:val="30"/>
        </w:rPr>
        <w:t>NO</w:t>
      </w:r>
      <w:r>
        <w:rPr>
          <w:i/>
          <w:iCs/>
          <w:sz w:val="30"/>
          <w:szCs w:val="30"/>
          <w:vertAlign w:val="subscript"/>
        </w:rPr>
        <w:t>x</w:t>
      </w:r>
      <w:r>
        <w:rPr>
          <w:sz w:val="30"/>
          <w:szCs w:val="30"/>
        </w:rPr>
        <w:t>：主要来自锅炉的有组织排放。</w:t>
      </w:r>
    </w:p>
    <w:p>
      <w:pPr>
        <w:overflowPunct w:val="0"/>
        <w:topLinePunct/>
        <w:spacing w:line="540" w:lineRule="exact"/>
        <w:ind w:firstLine="576" w:firstLineChars="200"/>
        <w:rPr>
          <w:sz w:val="30"/>
          <w:szCs w:val="30"/>
        </w:rPr>
      </w:pPr>
      <w:r>
        <w:rPr>
          <w:sz w:val="30"/>
          <w:szCs w:val="30"/>
        </w:rPr>
        <w:t>氯化氢：主要来自冷却工序的有组织排放。</w:t>
      </w:r>
    </w:p>
    <w:p>
      <w:pPr>
        <w:overflowPunct w:val="0"/>
        <w:topLinePunct/>
        <w:spacing w:line="540" w:lineRule="exact"/>
        <w:ind w:firstLine="576" w:firstLineChars="200"/>
        <w:rPr>
          <w:sz w:val="30"/>
          <w:szCs w:val="30"/>
        </w:rPr>
      </w:pPr>
      <w:r>
        <w:rPr>
          <w:sz w:val="30"/>
          <w:szCs w:val="30"/>
        </w:rPr>
        <w:t>4、复混肥制造</w:t>
      </w:r>
    </w:p>
    <w:p>
      <w:pPr>
        <w:overflowPunct w:val="0"/>
        <w:topLinePunct/>
        <w:spacing w:line="540" w:lineRule="exact"/>
        <w:ind w:firstLine="576" w:firstLineChars="200"/>
        <w:rPr>
          <w:sz w:val="30"/>
          <w:szCs w:val="30"/>
        </w:rPr>
      </w:pPr>
      <w:r>
        <w:rPr>
          <w:sz w:val="30"/>
          <w:szCs w:val="30"/>
        </w:rPr>
        <w:t>PM：主要来自锅炉、备料、造粒、干燥、筛分、破碎、冷却、包装、掺混等工序的有组织排放。</w:t>
      </w:r>
    </w:p>
    <w:p>
      <w:pPr>
        <w:overflowPunct w:val="0"/>
        <w:topLinePunct/>
        <w:spacing w:line="540" w:lineRule="exact"/>
        <w:ind w:firstLine="576" w:firstLineChars="200"/>
        <w:rPr>
          <w:sz w:val="30"/>
          <w:szCs w:val="30"/>
        </w:rPr>
      </w:pPr>
      <w:r>
        <w:rPr>
          <w:sz w:val="30"/>
          <w:szCs w:val="30"/>
        </w:rPr>
        <w:t>SO</w:t>
      </w:r>
      <w:r>
        <w:rPr>
          <w:sz w:val="30"/>
          <w:szCs w:val="30"/>
          <w:vertAlign w:val="subscript"/>
        </w:rPr>
        <w:t>2</w:t>
      </w:r>
      <w:r>
        <w:rPr>
          <w:sz w:val="30"/>
          <w:szCs w:val="30"/>
        </w:rPr>
        <w:t>：主要来自锅炉、干燥等工序的有组织排放。</w:t>
      </w:r>
    </w:p>
    <w:p>
      <w:pPr>
        <w:overflowPunct w:val="0"/>
        <w:topLinePunct/>
        <w:spacing w:line="540" w:lineRule="exact"/>
        <w:ind w:firstLine="576" w:firstLineChars="200"/>
        <w:rPr>
          <w:sz w:val="30"/>
          <w:szCs w:val="30"/>
        </w:rPr>
      </w:pPr>
      <w:r>
        <w:rPr>
          <w:sz w:val="30"/>
          <w:szCs w:val="30"/>
        </w:rPr>
        <w:t>NO</w:t>
      </w:r>
      <w:r>
        <w:rPr>
          <w:i/>
          <w:iCs/>
          <w:sz w:val="30"/>
          <w:szCs w:val="30"/>
          <w:vertAlign w:val="subscript"/>
        </w:rPr>
        <w:t>x</w:t>
      </w:r>
      <w:r>
        <w:rPr>
          <w:sz w:val="30"/>
          <w:szCs w:val="30"/>
        </w:rPr>
        <w:t>：主要来自锅炉、造粒、干燥等工序的有组织排放。</w:t>
      </w:r>
    </w:p>
    <w:p>
      <w:pPr>
        <w:overflowPunct w:val="0"/>
        <w:topLinePunct/>
        <w:spacing w:line="540" w:lineRule="exact"/>
        <w:ind w:firstLine="576" w:firstLineChars="200"/>
        <w:rPr>
          <w:sz w:val="30"/>
          <w:szCs w:val="30"/>
        </w:rPr>
      </w:pPr>
      <w:r>
        <w:rPr>
          <w:sz w:val="30"/>
          <w:szCs w:val="30"/>
        </w:rPr>
        <w:t>NH</w:t>
      </w:r>
      <w:r>
        <w:rPr>
          <w:sz w:val="30"/>
          <w:szCs w:val="30"/>
          <w:vertAlign w:val="subscript"/>
        </w:rPr>
        <w:t>3</w:t>
      </w:r>
      <w:r>
        <w:rPr>
          <w:sz w:val="30"/>
          <w:szCs w:val="30"/>
        </w:rPr>
        <w:t>：主要来自造粒、中和等工序的有组织排放。</w:t>
      </w:r>
    </w:p>
    <w:p>
      <w:pPr>
        <w:overflowPunct w:val="0"/>
        <w:topLinePunct/>
        <w:spacing w:line="540" w:lineRule="exact"/>
        <w:ind w:firstLine="576" w:firstLineChars="200"/>
        <w:rPr>
          <w:sz w:val="30"/>
          <w:szCs w:val="30"/>
        </w:rPr>
      </w:pPr>
      <w:r>
        <w:rPr>
          <w:sz w:val="30"/>
          <w:szCs w:val="30"/>
        </w:rPr>
        <w:t>硫酸雾：主要来自复分解工序的有组织排放。</w:t>
      </w:r>
    </w:p>
    <w:p>
      <w:pPr>
        <w:overflowPunct w:val="0"/>
        <w:topLinePunct/>
        <w:spacing w:line="540" w:lineRule="exact"/>
        <w:ind w:firstLine="576" w:firstLineChars="200"/>
        <w:rPr>
          <w:sz w:val="30"/>
          <w:szCs w:val="30"/>
        </w:rPr>
      </w:pPr>
      <w:r>
        <w:rPr>
          <w:sz w:val="30"/>
          <w:szCs w:val="30"/>
        </w:rPr>
        <w:t>5、有机肥料及微生物肥料制造</w:t>
      </w:r>
    </w:p>
    <w:p>
      <w:pPr>
        <w:overflowPunct w:val="0"/>
        <w:topLinePunct/>
        <w:spacing w:line="540" w:lineRule="exact"/>
        <w:ind w:firstLine="576" w:firstLineChars="200"/>
        <w:rPr>
          <w:sz w:val="30"/>
          <w:szCs w:val="30"/>
        </w:rPr>
      </w:pPr>
      <w:r>
        <w:rPr>
          <w:sz w:val="30"/>
          <w:szCs w:val="30"/>
        </w:rPr>
        <w:t>PM：主要来自锅炉、备料、干燥、破碎、造粒、筛分、冷却、包装等工序的有组织排放。</w:t>
      </w:r>
    </w:p>
    <w:p>
      <w:pPr>
        <w:overflowPunct w:val="0"/>
        <w:topLinePunct/>
        <w:spacing w:line="540" w:lineRule="exact"/>
        <w:ind w:firstLine="576" w:firstLineChars="200"/>
        <w:rPr>
          <w:sz w:val="30"/>
          <w:szCs w:val="30"/>
        </w:rPr>
      </w:pPr>
      <w:r>
        <w:rPr>
          <w:sz w:val="30"/>
          <w:szCs w:val="30"/>
        </w:rPr>
        <w:t>SO</w:t>
      </w:r>
      <w:r>
        <w:rPr>
          <w:sz w:val="30"/>
          <w:szCs w:val="30"/>
          <w:vertAlign w:val="subscript"/>
        </w:rPr>
        <w:t>2</w:t>
      </w:r>
      <w:r>
        <w:rPr>
          <w:sz w:val="30"/>
          <w:szCs w:val="30"/>
        </w:rPr>
        <w:t>、NO</w:t>
      </w:r>
      <w:r>
        <w:rPr>
          <w:i/>
          <w:iCs/>
          <w:sz w:val="30"/>
          <w:szCs w:val="30"/>
          <w:vertAlign w:val="subscript"/>
        </w:rPr>
        <w:t>x</w:t>
      </w:r>
      <w:r>
        <w:rPr>
          <w:sz w:val="30"/>
          <w:szCs w:val="30"/>
        </w:rPr>
        <w:t>：主要来自锅炉、干燥等工序的有组织排放。</w:t>
      </w:r>
    </w:p>
    <w:p>
      <w:pPr>
        <w:overflowPunct w:val="0"/>
        <w:topLinePunct/>
        <w:spacing w:line="540" w:lineRule="exact"/>
        <w:ind w:firstLine="576" w:firstLineChars="200"/>
        <w:rPr>
          <w:sz w:val="30"/>
          <w:szCs w:val="30"/>
        </w:rPr>
        <w:sectPr>
          <w:headerReference r:id="rId19" w:type="default"/>
          <w:footerReference r:id="rId21" w:type="default"/>
          <w:headerReference r:id="rId20" w:type="even"/>
          <w:footerReference r:id="rId22" w:type="even"/>
          <w:pgSz w:w="11910" w:h="16840"/>
          <w:pgMar w:top="2098" w:right="1474" w:bottom="1247" w:left="1588" w:header="851" w:footer="992" w:gutter="0"/>
          <w:cols w:space="720" w:num="1"/>
        </w:sectPr>
      </w:pPr>
      <w:r>
        <w:rPr>
          <w:sz w:val="30"/>
          <w:szCs w:val="30"/>
        </w:rPr>
        <w:t>NH</w:t>
      </w:r>
      <w:r>
        <w:rPr>
          <w:sz w:val="30"/>
          <w:szCs w:val="30"/>
          <w:vertAlign w:val="subscript"/>
        </w:rPr>
        <w:t>3</w:t>
      </w:r>
      <w:r>
        <w:rPr>
          <w:sz w:val="30"/>
          <w:szCs w:val="30"/>
        </w:rPr>
        <w:t>、恶臭：主要来自备料、接种、发酵、干燥等工序的有组织排放。</w:t>
      </w:r>
    </w:p>
    <w:p>
      <w:pPr>
        <w:overflowPunct w:val="0"/>
        <w:topLinePunct/>
        <w:spacing w:line="360" w:lineRule="auto"/>
        <w:jc w:val="left"/>
        <w:outlineLvl w:val="2"/>
        <w:rPr>
          <w:rFonts w:eastAsia="楷体_GB2312"/>
          <w:kern w:val="0"/>
          <w:sz w:val="30"/>
          <w:szCs w:val="30"/>
        </w:rPr>
      </w:pPr>
      <w:bookmarkStart w:id="35" w:name="_Toc121413336"/>
      <w:bookmarkStart w:id="36" w:name="_Toc6346"/>
      <w:r>
        <w:rPr>
          <w:rFonts w:eastAsia="楷体_GB2312"/>
          <w:kern w:val="0"/>
          <w:sz w:val="30"/>
          <w:szCs w:val="30"/>
        </w:rPr>
        <w:t>（四）绩效分级指标</w:t>
      </w:r>
      <w:bookmarkEnd w:id="35"/>
      <w:bookmarkEnd w:id="36"/>
    </w:p>
    <w:p>
      <w:pPr>
        <w:overflowPunct w:val="0"/>
        <w:topLinePunct/>
        <w:jc w:val="center"/>
        <w:rPr>
          <w:rFonts w:eastAsia="黑体"/>
          <w:kern w:val="0"/>
          <w:sz w:val="24"/>
          <w:szCs w:val="24"/>
        </w:rPr>
      </w:pPr>
      <w:r>
        <w:rPr>
          <w:rFonts w:eastAsia="黑体"/>
          <w:kern w:val="0"/>
          <w:sz w:val="24"/>
          <w:szCs w:val="24"/>
        </w:rPr>
        <w:t>表3-1  肥料制造（除煤制氮肥）企业绩效分级指标</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98"/>
        <w:gridCol w:w="5072"/>
        <w:gridCol w:w="5348"/>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blHeader/>
        </w:trPr>
        <w:tc>
          <w:tcPr>
            <w:tcW w:w="442"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jc w:val="center"/>
              <w:rPr>
                <w:rFonts w:hint="default" w:eastAsia="黑体"/>
                <w:kern w:val="0"/>
                <w:sz w:val="21"/>
                <w:szCs w:val="21"/>
              </w:rPr>
            </w:pPr>
            <w:r>
              <w:rPr>
                <w:rFonts w:hint="default" w:eastAsia="黑体"/>
                <w:kern w:val="0"/>
                <w:sz w:val="21"/>
                <w:szCs w:val="21"/>
              </w:rPr>
              <w:t>差异化指标</w:t>
            </w:r>
          </w:p>
        </w:tc>
        <w:tc>
          <w:tcPr>
            <w:tcW w:w="1871"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jc w:val="center"/>
              <w:rPr>
                <w:rFonts w:hint="default" w:eastAsia="黑体"/>
                <w:kern w:val="0"/>
                <w:sz w:val="21"/>
                <w:szCs w:val="21"/>
              </w:rPr>
            </w:pPr>
            <w:r>
              <w:rPr>
                <w:rFonts w:hint="default" w:eastAsia="黑体"/>
                <w:kern w:val="0"/>
                <w:sz w:val="21"/>
                <w:szCs w:val="21"/>
              </w:rPr>
              <w:t>A级企业</w:t>
            </w:r>
          </w:p>
        </w:tc>
        <w:tc>
          <w:tcPr>
            <w:tcW w:w="197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jc w:val="center"/>
              <w:rPr>
                <w:rFonts w:hint="default" w:eastAsia="黑体"/>
                <w:kern w:val="0"/>
                <w:sz w:val="21"/>
                <w:szCs w:val="21"/>
              </w:rPr>
            </w:pPr>
            <w:r>
              <w:rPr>
                <w:rFonts w:hint="default" w:eastAsia="黑体"/>
                <w:kern w:val="0"/>
                <w:sz w:val="21"/>
                <w:szCs w:val="21"/>
              </w:rPr>
              <w:t>B级企业</w:t>
            </w:r>
          </w:p>
        </w:tc>
        <w:tc>
          <w:tcPr>
            <w:tcW w:w="71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jc w:val="center"/>
              <w:rPr>
                <w:rFonts w:hint="default" w:eastAsia="黑体"/>
                <w:kern w:val="0"/>
                <w:sz w:val="21"/>
                <w:szCs w:val="21"/>
              </w:rPr>
            </w:pPr>
            <w:r>
              <w:rPr>
                <w:rFonts w:hint="default" w:eastAsia="黑体"/>
                <w:kern w:val="0"/>
                <w:sz w:val="21"/>
                <w:szCs w:val="21"/>
              </w:rPr>
              <w:t>C级企业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42"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jc w:val="center"/>
              <w:rPr>
                <w:rFonts w:eastAsia="黑体"/>
                <w:kern w:val="0"/>
                <w:sz w:val="20"/>
              </w:rPr>
            </w:pPr>
            <w:r>
              <w:rPr>
                <w:rFonts w:hint="eastAsia" w:eastAsia="黑体"/>
                <w:kern w:val="0"/>
                <w:sz w:val="20"/>
              </w:rPr>
              <w:t>能源类型</w:t>
            </w:r>
          </w:p>
        </w:tc>
        <w:tc>
          <w:tcPr>
            <w:tcW w:w="1871"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rPr>
                <w:kern w:val="0"/>
                <w:sz w:val="20"/>
              </w:rPr>
            </w:pPr>
            <w:r>
              <w:rPr>
                <w:rFonts w:hint="eastAsia"/>
                <w:kern w:val="0"/>
                <w:sz w:val="20"/>
              </w:rPr>
              <w:t>使用电、天然气、液化石油气等能源。</w:t>
            </w:r>
          </w:p>
        </w:tc>
        <w:tc>
          <w:tcPr>
            <w:tcW w:w="197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rPr>
                <w:rFonts w:hint="eastAsia"/>
                <w:kern w:val="0"/>
                <w:sz w:val="20"/>
              </w:rPr>
            </w:pPr>
            <w:r>
              <w:rPr>
                <w:rFonts w:hint="eastAsia"/>
                <w:kern w:val="0"/>
                <w:sz w:val="20"/>
              </w:rPr>
              <w:t>使用</w:t>
            </w:r>
            <w:r>
              <w:rPr>
                <w:rFonts w:hint="eastAsia"/>
                <w:kern w:val="0"/>
                <w:sz w:val="20"/>
                <w:lang w:val="en-US" w:eastAsia="zh-CN"/>
              </w:rPr>
              <w:t>煤</w:t>
            </w:r>
            <w:r>
              <w:rPr>
                <w:rFonts w:hint="eastAsia"/>
                <w:kern w:val="0"/>
                <w:sz w:val="20"/>
                <w:lang w:eastAsia="zh-CN"/>
              </w:rPr>
              <w:t>为</w:t>
            </w:r>
            <w:r>
              <w:rPr>
                <w:rFonts w:hint="eastAsia"/>
                <w:kern w:val="0"/>
                <w:sz w:val="20"/>
              </w:rPr>
              <w:t>能源。</w:t>
            </w:r>
          </w:p>
        </w:tc>
        <w:tc>
          <w:tcPr>
            <w:tcW w:w="71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jc w:val="center"/>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42" w:type="pct"/>
            <w:vMerge w:val="restart"/>
            <w:tcBorders>
              <w:top w:val="single" w:color="auto" w:sz="4" w:space="0"/>
              <w:left w:val="single" w:color="auto" w:sz="4" w:space="0"/>
              <w:right w:val="single" w:color="auto" w:sz="4" w:space="0"/>
            </w:tcBorders>
            <w:vAlign w:val="center"/>
          </w:tcPr>
          <w:p>
            <w:pPr>
              <w:overflowPunct w:val="0"/>
              <w:topLinePunct/>
              <w:spacing w:line="270" w:lineRule="exact"/>
              <w:jc w:val="center"/>
              <w:rPr>
                <w:rFonts w:eastAsia="黑体"/>
                <w:kern w:val="0"/>
                <w:sz w:val="20"/>
              </w:rPr>
            </w:pPr>
            <w:r>
              <w:rPr>
                <w:rFonts w:hint="eastAsia" w:eastAsia="黑体"/>
                <w:kern w:val="0"/>
                <w:sz w:val="20"/>
              </w:rPr>
              <w:t>生产工艺及装备水平</w:t>
            </w:r>
          </w:p>
        </w:tc>
        <w:tc>
          <w:tcPr>
            <w:tcW w:w="3844" w:type="pct"/>
            <w:gridSpan w:val="2"/>
            <w:tcBorders>
              <w:top w:val="single" w:color="auto" w:sz="4" w:space="0"/>
              <w:left w:val="single" w:color="auto" w:sz="4" w:space="0"/>
              <w:bottom w:val="single" w:color="auto" w:sz="4" w:space="0"/>
              <w:right w:val="single" w:color="auto" w:sz="4" w:space="0"/>
            </w:tcBorders>
            <w:vAlign w:val="center"/>
          </w:tcPr>
          <w:p>
            <w:pPr>
              <w:numPr>
                <w:ilvl w:val="0"/>
                <w:numId w:val="0"/>
              </w:numPr>
              <w:overflowPunct w:val="0"/>
              <w:topLinePunct/>
              <w:spacing w:line="270" w:lineRule="exact"/>
              <w:rPr>
                <w:rFonts w:hint="eastAsia"/>
                <w:kern w:val="0"/>
                <w:sz w:val="20"/>
              </w:rPr>
            </w:pPr>
            <w:r>
              <w:rPr>
                <w:rFonts w:hint="eastAsia" w:ascii="Times New Roman" w:hAnsi="Times New Roman" w:eastAsia="仿宋_GB2312" w:cs="Times New Roman"/>
                <w:spacing w:val="-6"/>
                <w:kern w:val="0"/>
                <w:sz w:val="20"/>
                <w:lang w:val="en-US" w:eastAsia="zh-CN" w:bidi="ar-SA"/>
              </w:rPr>
              <w:t>1、</w:t>
            </w:r>
            <w:r>
              <w:rPr>
                <w:rFonts w:hint="eastAsia"/>
                <w:kern w:val="0"/>
                <w:sz w:val="20"/>
              </w:rPr>
              <w:t>属于《产业结构调整指导目录》鼓励类。</w:t>
            </w:r>
          </w:p>
        </w:tc>
        <w:tc>
          <w:tcPr>
            <w:tcW w:w="71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42" w:type="pct"/>
            <w:vMerge w:val="continue"/>
            <w:tcBorders>
              <w:left w:val="single" w:color="auto" w:sz="4" w:space="0"/>
              <w:right w:val="single" w:color="auto" w:sz="4" w:space="0"/>
            </w:tcBorders>
            <w:vAlign w:val="center"/>
          </w:tcPr>
          <w:p>
            <w:pPr>
              <w:overflowPunct w:val="0"/>
              <w:topLinePunct/>
              <w:spacing w:line="270" w:lineRule="exact"/>
              <w:jc w:val="center"/>
              <w:rPr>
                <w:rFonts w:hint="eastAsia" w:eastAsia="黑体"/>
                <w:kern w:val="0"/>
                <w:sz w:val="20"/>
              </w:rPr>
            </w:pPr>
          </w:p>
        </w:tc>
        <w:tc>
          <w:tcPr>
            <w:tcW w:w="1871" w:type="pct"/>
            <w:tcBorders>
              <w:top w:val="single" w:color="auto" w:sz="4" w:space="0"/>
              <w:left w:val="single" w:color="auto" w:sz="4" w:space="0"/>
              <w:bottom w:val="single" w:color="auto" w:sz="4" w:space="0"/>
              <w:right w:val="single" w:color="auto" w:sz="4" w:space="0"/>
            </w:tcBorders>
            <w:vAlign w:val="center"/>
          </w:tcPr>
          <w:p>
            <w:pPr>
              <w:numPr>
                <w:ilvl w:val="0"/>
                <w:numId w:val="0"/>
              </w:numPr>
              <w:overflowPunct w:val="0"/>
              <w:topLinePunct/>
              <w:spacing w:line="270" w:lineRule="exact"/>
              <w:rPr>
                <w:rFonts w:hint="eastAsia"/>
                <w:kern w:val="0"/>
                <w:sz w:val="20"/>
              </w:rPr>
            </w:pPr>
            <w:r>
              <w:rPr>
                <w:rFonts w:hint="eastAsia"/>
                <w:kern w:val="0"/>
                <w:sz w:val="20"/>
                <w:lang w:val="en-US" w:eastAsia="zh-CN"/>
              </w:rPr>
              <w:t>2、采用电锅炉、燃气锅炉等供热。</w:t>
            </w:r>
          </w:p>
        </w:tc>
        <w:tc>
          <w:tcPr>
            <w:tcW w:w="197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jc w:val="both"/>
              <w:rPr>
                <w:rFonts w:hint="eastAsia" w:eastAsia="仿宋_GB2312"/>
                <w:kern w:val="0"/>
                <w:sz w:val="20"/>
                <w:lang w:eastAsia="zh-CN"/>
              </w:rPr>
            </w:pPr>
            <w:r>
              <w:rPr>
                <w:rFonts w:hint="eastAsia"/>
                <w:kern w:val="0"/>
                <w:sz w:val="20"/>
                <w:lang w:val="en-US" w:eastAsia="zh-CN"/>
              </w:rPr>
              <w:t>2、采用65t/h及以上燃煤锅炉供热。</w:t>
            </w:r>
          </w:p>
        </w:tc>
        <w:tc>
          <w:tcPr>
            <w:tcW w:w="71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jc w:val="center"/>
              <w:rPr>
                <w:rFonts w:hint="eastAsia"/>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42" w:type="pct"/>
            <w:vMerge w:val="continue"/>
            <w:tcBorders>
              <w:left w:val="single" w:color="auto" w:sz="4" w:space="0"/>
              <w:bottom w:val="single" w:color="auto" w:sz="4" w:space="0"/>
              <w:right w:val="single" w:color="auto" w:sz="4" w:space="0"/>
            </w:tcBorders>
            <w:vAlign w:val="center"/>
          </w:tcPr>
          <w:p>
            <w:pPr>
              <w:overflowPunct w:val="0"/>
              <w:topLinePunct/>
              <w:spacing w:line="270" w:lineRule="exact"/>
              <w:jc w:val="center"/>
              <w:rPr>
                <w:rFonts w:hint="eastAsia" w:eastAsia="黑体"/>
                <w:kern w:val="0"/>
                <w:sz w:val="20"/>
              </w:rPr>
            </w:pPr>
          </w:p>
        </w:tc>
        <w:tc>
          <w:tcPr>
            <w:tcW w:w="1871" w:type="pct"/>
            <w:tcBorders>
              <w:top w:val="single" w:color="auto" w:sz="4" w:space="0"/>
              <w:left w:val="single" w:color="auto" w:sz="4" w:space="0"/>
              <w:bottom w:val="single" w:color="auto" w:sz="4" w:space="0"/>
              <w:right w:val="single" w:color="auto" w:sz="4" w:space="0"/>
            </w:tcBorders>
            <w:vAlign w:val="center"/>
          </w:tcPr>
          <w:p>
            <w:pPr>
              <w:numPr>
                <w:ilvl w:val="-1"/>
                <w:numId w:val="0"/>
              </w:numPr>
              <w:overflowPunct w:val="0"/>
              <w:topLinePunct/>
              <w:spacing w:line="270" w:lineRule="exact"/>
              <w:rPr>
                <w:rFonts w:hint="default" w:eastAsia="仿宋_GB2312"/>
                <w:kern w:val="0"/>
                <w:sz w:val="20"/>
                <w:lang w:val="en-US" w:eastAsia="zh-CN"/>
              </w:rPr>
            </w:pPr>
            <w:r>
              <w:rPr>
                <w:rFonts w:hint="eastAsia" w:cs="Times New Roman"/>
                <w:spacing w:val="-6"/>
                <w:kern w:val="0"/>
                <w:sz w:val="20"/>
                <w:lang w:val="en-US" w:eastAsia="zh-CN" w:bidi="ar-SA"/>
              </w:rPr>
              <w:t>3</w:t>
            </w:r>
            <w:r>
              <w:rPr>
                <w:rFonts w:hint="eastAsia" w:ascii="Times New Roman" w:hAnsi="Times New Roman" w:eastAsia="仿宋_GB2312" w:cs="Times New Roman"/>
                <w:spacing w:val="-6"/>
                <w:kern w:val="0"/>
                <w:sz w:val="20"/>
                <w:lang w:val="en-US" w:eastAsia="zh-CN" w:bidi="ar-SA"/>
              </w:rPr>
              <w:t>、</w:t>
            </w:r>
            <w:r>
              <w:rPr>
                <w:rFonts w:hint="eastAsia"/>
                <w:kern w:val="0"/>
                <w:sz w:val="20"/>
              </w:rPr>
              <w:t>磷肥、钾肥行业采用自动配料系统，使用集散控制系统。</w:t>
            </w:r>
          </w:p>
        </w:tc>
        <w:tc>
          <w:tcPr>
            <w:tcW w:w="2686" w:type="pct"/>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jc w:val="center"/>
              <w:rPr>
                <w:rFonts w:hint="eastAsia"/>
                <w:kern w:val="0"/>
                <w:sz w:val="20"/>
                <w:lang w:val="en-US" w:eastAsia="zh-CN"/>
              </w:rPr>
            </w:pPr>
            <w:r>
              <w:rPr>
                <w:rFonts w:hint="eastAsia"/>
                <w:kern w:val="0"/>
                <w:sz w:val="20"/>
              </w:rPr>
              <w:t>未达到A级要求。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42"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污染治理技术</w:t>
            </w:r>
          </w:p>
        </w:tc>
        <w:tc>
          <w:tcPr>
            <w:tcW w:w="1871"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1、</w:t>
            </w:r>
            <w:r>
              <w:rPr>
                <w:rFonts w:hint="eastAsia"/>
                <w:kern w:val="0"/>
                <w:sz w:val="20"/>
                <w:lang w:val="en-US" w:eastAsia="zh-CN"/>
              </w:rPr>
              <w:t>除尘</w:t>
            </w:r>
            <w:r>
              <w:rPr>
                <w:rFonts w:hint="eastAsia"/>
                <w:kern w:val="0"/>
                <w:sz w:val="20"/>
              </w:rPr>
              <w:t>采用湿电</w:t>
            </w:r>
            <w:r>
              <w:rPr>
                <w:rFonts w:hint="eastAsia"/>
                <w:kern w:val="0"/>
                <w:sz w:val="20"/>
                <w:lang w:eastAsia="zh-CN"/>
              </w:rPr>
              <w:t>、</w:t>
            </w:r>
            <w:r>
              <w:rPr>
                <w:rFonts w:hint="eastAsia"/>
                <w:kern w:val="0"/>
                <w:sz w:val="20"/>
              </w:rPr>
              <w:t>覆膜滤袋、滤筒</w:t>
            </w:r>
            <w:r>
              <w:rPr>
                <w:rFonts w:hint="eastAsia"/>
                <w:kern w:val="0"/>
                <w:sz w:val="20"/>
                <w:lang w:eastAsia="zh-CN"/>
              </w:rPr>
              <w:t>或同</w:t>
            </w:r>
            <w:r>
              <w:rPr>
                <w:rFonts w:hint="eastAsia"/>
                <w:kern w:val="0"/>
                <w:sz w:val="20"/>
              </w:rPr>
              <w:t>等高效除尘技术。</w:t>
            </w:r>
          </w:p>
          <w:p>
            <w:pPr>
              <w:overflowPunct w:val="0"/>
              <w:topLinePunct/>
              <w:spacing w:line="280" w:lineRule="exact"/>
              <w:rPr>
                <w:kern w:val="0"/>
                <w:sz w:val="20"/>
              </w:rPr>
            </w:pPr>
            <w:r>
              <w:rPr>
                <w:rFonts w:hint="eastAsia"/>
                <w:kern w:val="0"/>
                <w:sz w:val="20"/>
              </w:rPr>
              <w:t>2、NO</w:t>
            </w:r>
            <w:r>
              <w:rPr>
                <w:rFonts w:hint="eastAsia"/>
                <w:i/>
                <w:iCs/>
                <w:kern w:val="0"/>
                <w:sz w:val="20"/>
                <w:vertAlign w:val="subscript"/>
              </w:rPr>
              <w:t>x</w:t>
            </w:r>
            <w:r>
              <w:rPr>
                <w:rFonts w:hint="eastAsia"/>
                <w:kern w:val="0"/>
                <w:sz w:val="20"/>
              </w:rPr>
              <w:t>治理采用低氮燃烧、SNCR/SCR等适宜技术。</w:t>
            </w:r>
          </w:p>
          <w:p>
            <w:pPr>
              <w:overflowPunct w:val="0"/>
              <w:topLinePunct/>
              <w:spacing w:line="280" w:lineRule="exact"/>
              <w:rPr>
                <w:kern w:val="0"/>
                <w:sz w:val="20"/>
              </w:rPr>
            </w:pPr>
            <w:r>
              <w:rPr>
                <w:rFonts w:hint="eastAsia"/>
                <w:kern w:val="0"/>
                <w:sz w:val="20"/>
              </w:rPr>
              <w:t>3、NH</w:t>
            </w:r>
            <w:r>
              <w:rPr>
                <w:rFonts w:hint="eastAsia"/>
                <w:kern w:val="0"/>
                <w:sz w:val="20"/>
                <w:vertAlign w:val="subscript"/>
              </w:rPr>
              <w:t>3</w:t>
            </w:r>
            <w:r>
              <w:rPr>
                <w:rFonts w:hint="eastAsia"/>
                <w:kern w:val="0"/>
                <w:sz w:val="20"/>
              </w:rPr>
              <w:t>、H</w:t>
            </w:r>
            <w:r>
              <w:rPr>
                <w:rFonts w:hint="eastAsia"/>
                <w:kern w:val="0"/>
                <w:sz w:val="20"/>
                <w:vertAlign w:val="subscript"/>
              </w:rPr>
              <w:t>2</w:t>
            </w:r>
            <w:r>
              <w:rPr>
                <w:rFonts w:hint="eastAsia"/>
                <w:kern w:val="0"/>
                <w:sz w:val="20"/>
              </w:rPr>
              <w:t>S治理采用洗涤、生物除臭（滴滤法、过滤法）等工艺。</w:t>
            </w:r>
          </w:p>
          <w:p>
            <w:pPr>
              <w:overflowPunct w:val="0"/>
              <w:topLinePunct/>
              <w:spacing w:line="280" w:lineRule="exact"/>
              <w:rPr>
                <w:kern w:val="0"/>
                <w:sz w:val="20"/>
              </w:rPr>
            </w:pPr>
            <w:r>
              <w:rPr>
                <w:rFonts w:hint="eastAsia"/>
                <w:kern w:val="0"/>
                <w:sz w:val="20"/>
              </w:rPr>
              <w:t>4、硫酸雾采用酸雾吸收塔或其他等效适宜技术。</w:t>
            </w:r>
          </w:p>
          <w:p>
            <w:pPr>
              <w:overflowPunct w:val="0"/>
              <w:topLinePunct/>
              <w:spacing w:line="280" w:lineRule="exact"/>
              <w:rPr>
                <w:kern w:val="0"/>
                <w:sz w:val="20"/>
              </w:rPr>
            </w:pPr>
            <w:r>
              <w:rPr>
                <w:rFonts w:hint="eastAsia"/>
                <w:kern w:val="0"/>
                <w:sz w:val="20"/>
              </w:rPr>
              <w:t>5、废水收集与处理环节：曝气池</w:t>
            </w:r>
            <w:r>
              <w:rPr>
                <w:rFonts w:hint="eastAsia"/>
                <w:kern w:val="0"/>
                <w:sz w:val="20"/>
                <w:lang w:eastAsia="zh-CN"/>
              </w:rPr>
              <w:t>及其</w:t>
            </w:r>
            <w:r>
              <w:rPr>
                <w:rFonts w:hint="eastAsia"/>
                <w:kern w:val="0"/>
                <w:sz w:val="20"/>
              </w:rPr>
              <w:t>之前加盖密闭，并密闭排气至废气治理设施或脱臭设施；污水处理站废气采用吸收、氧化、生物法、吸附等两级及以上组合工艺进行处理。</w:t>
            </w:r>
          </w:p>
        </w:tc>
        <w:tc>
          <w:tcPr>
            <w:tcW w:w="197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1、</w:t>
            </w:r>
            <w:r>
              <w:rPr>
                <w:rFonts w:hint="eastAsia"/>
                <w:kern w:val="0"/>
                <w:sz w:val="20"/>
                <w:lang w:eastAsia="zh-CN"/>
              </w:rPr>
              <w:t>除尘采用袋式、静电、旋风等技术</w:t>
            </w:r>
            <w:r>
              <w:rPr>
                <w:rFonts w:hint="eastAsia"/>
                <w:kern w:val="0"/>
                <w:sz w:val="20"/>
              </w:rPr>
              <w:t>。</w:t>
            </w:r>
          </w:p>
          <w:p>
            <w:pPr>
              <w:overflowPunct w:val="0"/>
              <w:topLinePunct/>
              <w:spacing w:line="280" w:lineRule="exact"/>
              <w:rPr>
                <w:kern w:val="0"/>
                <w:sz w:val="20"/>
              </w:rPr>
            </w:pPr>
            <w:r>
              <w:rPr>
                <w:rFonts w:hint="eastAsia"/>
                <w:kern w:val="0"/>
                <w:sz w:val="20"/>
              </w:rPr>
              <w:t>2、同A级第2条要求。</w:t>
            </w:r>
          </w:p>
          <w:p>
            <w:pPr>
              <w:overflowPunct w:val="0"/>
              <w:topLinePunct/>
              <w:spacing w:line="280" w:lineRule="exact"/>
              <w:rPr>
                <w:kern w:val="0"/>
                <w:sz w:val="20"/>
              </w:rPr>
            </w:pPr>
            <w:r>
              <w:rPr>
                <w:rFonts w:hint="eastAsia"/>
                <w:kern w:val="0"/>
                <w:sz w:val="20"/>
              </w:rPr>
              <w:t>3、同A级第3条要求。</w:t>
            </w:r>
          </w:p>
          <w:p>
            <w:pPr>
              <w:overflowPunct w:val="0"/>
              <w:topLinePunct/>
              <w:spacing w:line="280" w:lineRule="exact"/>
              <w:rPr>
                <w:kern w:val="0"/>
                <w:sz w:val="20"/>
              </w:rPr>
            </w:pPr>
            <w:r>
              <w:rPr>
                <w:rFonts w:hint="eastAsia"/>
                <w:kern w:val="0"/>
                <w:sz w:val="20"/>
              </w:rPr>
              <w:t>4、同A级第4条要求。</w:t>
            </w:r>
          </w:p>
          <w:p>
            <w:pPr>
              <w:overflowPunct w:val="0"/>
              <w:topLinePunct/>
              <w:spacing w:line="280" w:lineRule="exact"/>
              <w:rPr>
                <w:kern w:val="0"/>
                <w:sz w:val="20"/>
              </w:rPr>
            </w:pPr>
            <w:r>
              <w:rPr>
                <w:rFonts w:hint="eastAsia"/>
                <w:kern w:val="0"/>
                <w:sz w:val="20"/>
              </w:rPr>
              <w:t>5、废水收集与处理环节：曝气池</w:t>
            </w:r>
            <w:r>
              <w:rPr>
                <w:rFonts w:hint="eastAsia"/>
                <w:kern w:val="0"/>
                <w:sz w:val="20"/>
                <w:lang w:eastAsia="zh-CN"/>
              </w:rPr>
              <w:t>及其</w:t>
            </w:r>
            <w:r>
              <w:rPr>
                <w:rFonts w:hint="eastAsia"/>
                <w:kern w:val="0"/>
                <w:sz w:val="20"/>
              </w:rPr>
              <w:t>之前加盖密闭，并密闭排气至废气治理设施或脱臭设施；污水处理站废气采用吸收、氧化、生物法、吸附等工艺进行处理。</w:t>
            </w:r>
          </w:p>
        </w:tc>
        <w:tc>
          <w:tcPr>
            <w:tcW w:w="71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42"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jc w:val="center"/>
              <w:rPr>
                <w:rFonts w:eastAsia="黑体"/>
                <w:kern w:val="0"/>
                <w:sz w:val="20"/>
              </w:rPr>
            </w:pPr>
            <w:r>
              <w:rPr>
                <w:rFonts w:hint="eastAsia" w:eastAsia="黑体"/>
                <w:kern w:val="0"/>
                <w:sz w:val="20"/>
              </w:rPr>
              <w:t>无组织管控</w:t>
            </w:r>
          </w:p>
        </w:tc>
        <w:tc>
          <w:tcPr>
            <w:tcW w:w="3844"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80" w:lineRule="exact"/>
              <w:rPr>
                <w:kern w:val="0"/>
                <w:sz w:val="20"/>
              </w:rPr>
            </w:pPr>
            <w:r>
              <w:rPr>
                <w:rFonts w:hint="eastAsia"/>
                <w:kern w:val="0"/>
                <w:sz w:val="20"/>
              </w:rPr>
              <w:t>1、粉状物料全部采取储罐、筒仓、覆膜吨袋等密闭储存；粒状、块状物料全部封闭或密闭储存；并配备废气收集和除尘设施。</w:t>
            </w:r>
          </w:p>
          <w:p>
            <w:pPr>
              <w:tabs>
                <w:tab w:val="left" w:pos="267"/>
              </w:tabs>
              <w:overflowPunct w:val="0"/>
              <w:topLinePunct/>
              <w:spacing w:line="280" w:lineRule="exact"/>
              <w:rPr>
                <w:kern w:val="0"/>
                <w:sz w:val="20"/>
              </w:rPr>
            </w:pPr>
            <w:r>
              <w:rPr>
                <w:rFonts w:hint="eastAsia"/>
                <w:kern w:val="0"/>
                <w:sz w:val="20"/>
              </w:rPr>
              <w:t>2、粉状物料采取管状带式输送机或其他密闭方式输送；块状物料输送环节采取封闭或其他清洁运输方式；每个下料口设置独立集气罩，配套的除尘设施不与其他工序混用。</w:t>
            </w:r>
          </w:p>
          <w:p>
            <w:pPr>
              <w:tabs>
                <w:tab w:val="left" w:pos="267"/>
              </w:tabs>
              <w:overflowPunct w:val="0"/>
              <w:topLinePunct/>
              <w:spacing w:line="280" w:lineRule="exact"/>
              <w:rPr>
                <w:kern w:val="0"/>
                <w:sz w:val="20"/>
              </w:rPr>
            </w:pPr>
            <w:r>
              <w:rPr>
                <w:rFonts w:hint="eastAsia"/>
                <w:kern w:val="0"/>
                <w:sz w:val="20"/>
              </w:rPr>
              <w:t>3、投料、粉碎、筛分等产尘工序应在封闭的厂房内，并安装集气罩和除尘设施。</w:t>
            </w:r>
          </w:p>
          <w:p>
            <w:pPr>
              <w:tabs>
                <w:tab w:val="left" w:pos="267"/>
              </w:tabs>
              <w:overflowPunct w:val="0"/>
              <w:topLinePunct/>
              <w:spacing w:line="280" w:lineRule="exact"/>
              <w:rPr>
                <w:kern w:val="0"/>
                <w:sz w:val="20"/>
              </w:rPr>
            </w:pPr>
            <w:r>
              <w:rPr>
                <w:rFonts w:hint="eastAsia"/>
                <w:kern w:val="0"/>
                <w:sz w:val="20"/>
              </w:rPr>
              <w:t>4、厂内地面全部硬化或绿化，车间规范干净整洁，无散落物料。</w:t>
            </w:r>
          </w:p>
          <w:p>
            <w:pPr>
              <w:tabs>
                <w:tab w:val="left" w:pos="267"/>
              </w:tabs>
              <w:overflowPunct w:val="0"/>
              <w:topLinePunct/>
              <w:spacing w:line="280" w:lineRule="exact"/>
              <w:rPr>
                <w:kern w:val="0"/>
                <w:sz w:val="20"/>
              </w:rPr>
            </w:pPr>
            <w:r>
              <w:rPr>
                <w:rFonts w:hint="eastAsia"/>
                <w:kern w:val="0"/>
                <w:sz w:val="20"/>
              </w:rPr>
              <w:t>5、</w:t>
            </w:r>
            <w:r>
              <w:rPr>
                <w:rFonts w:hint="eastAsia"/>
                <w:kern w:val="0"/>
                <w:sz w:val="20"/>
                <w:lang w:eastAsia="zh-CN"/>
              </w:rPr>
              <w:t>干燥</w:t>
            </w:r>
            <w:r>
              <w:rPr>
                <w:rFonts w:hint="eastAsia"/>
                <w:kern w:val="0"/>
                <w:sz w:val="20"/>
              </w:rPr>
              <w:t>工序废气需全收集。</w:t>
            </w:r>
          </w:p>
        </w:tc>
        <w:tc>
          <w:tcPr>
            <w:tcW w:w="71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42"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jc w:val="center"/>
              <w:rPr>
                <w:rFonts w:eastAsia="黑体"/>
                <w:kern w:val="0"/>
                <w:sz w:val="20"/>
              </w:rPr>
            </w:pPr>
            <w:r>
              <w:rPr>
                <w:rFonts w:hint="eastAsia" w:eastAsia="黑体"/>
                <w:kern w:val="0"/>
                <w:sz w:val="20"/>
              </w:rPr>
              <w:t>排放限值</w:t>
            </w:r>
          </w:p>
        </w:tc>
        <w:tc>
          <w:tcPr>
            <w:tcW w:w="1871"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rPr>
                <w:kern w:val="0"/>
                <w:sz w:val="20"/>
              </w:rPr>
            </w:pPr>
            <w:r>
              <w:rPr>
                <w:rFonts w:hint="eastAsia"/>
                <w:kern w:val="0"/>
                <w:sz w:val="20"/>
              </w:rPr>
              <w:t>1、PM有组织排放浓度≤10mg/m</w:t>
            </w:r>
            <w:r>
              <w:rPr>
                <w:rFonts w:hint="eastAsia"/>
                <w:kern w:val="0"/>
                <w:sz w:val="20"/>
                <w:vertAlign w:val="superscript"/>
              </w:rPr>
              <w:t>3</w:t>
            </w:r>
            <w:r>
              <w:rPr>
                <w:rFonts w:hint="eastAsia"/>
                <w:kern w:val="0"/>
                <w:sz w:val="20"/>
              </w:rPr>
              <w:t>。</w:t>
            </w:r>
          </w:p>
          <w:p>
            <w:pPr>
              <w:overflowPunct w:val="0"/>
              <w:topLinePunct/>
              <w:spacing w:line="270" w:lineRule="exact"/>
              <w:rPr>
                <w:kern w:val="0"/>
                <w:sz w:val="20"/>
              </w:rPr>
            </w:pPr>
            <w:r>
              <w:rPr>
                <w:rFonts w:hint="eastAsia"/>
                <w:kern w:val="0"/>
                <w:sz w:val="20"/>
              </w:rPr>
              <w:t>2、造粒工序NH</w:t>
            </w:r>
            <w:r>
              <w:rPr>
                <w:rFonts w:hint="eastAsia"/>
                <w:kern w:val="0"/>
                <w:sz w:val="20"/>
                <w:vertAlign w:val="subscript"/>
              </w:rPr>
              <w:t>3</w:t>
            </w:r>
            <w:r>
              <w:rPr>
                <w:rFonts w:hint="eastAsia"/>
                <w:kern w:val="0"/>
                <w:sz w:val="20"/>
              </w:rPr>
              <w:t>排放浓度≤20mg/m</w:t>
            </w:r>
            <w:r>
              <w:rPr>
                <w:rFonts w:hint="eastAsia"/>
                <w:kern w:val="0"/>
                <w:sz w:val="20"/>
                <w:vertAlign w:val="superscript"/>
              </w:rPr>
              <w:t>3</w:t>
            </w:r>
            <w:r>
              <w:rPr>
                <w:rFonts w:hint="eastAsia"/>
                <w:kern w:val="0"/>
                <w:sz w:val="20"/>
              </w:rPr>
              <w:t>。</w:t>
            </w:r>
          </w:p>
          <w:p>
            <w:pPr>
              <w:overflowPunct w:val="0"/>
              <w:topLinePunct/>
              <w:spacing w:line="270" w:lineRule="exact"/>
              <w:rPr>
                <w:rFonts w:hint="eastAsia"/>
                <w:kern w:val="0"/>
                <w:sz w:val="20"/>
              </w:rPr>
            </w:pPr>
            <w:r>
              <w:rPr>
                <w:rFonts w:hint="eastAsia"/>
                <w:kern w:val="0"/>
                <w:sz w:val="20"/>
              </w:rPr>
              <w:t>3、氯化氢排放浓度≤100mg/m</w:t>
            </w:r>
            <w:r>
              <w:rPr>
                <w:rFonts w:hint="eastAsia"/>
                <w:kern w:val="0"/>
                <w:sz w:val="20"/>
                <w:vertAlign w:val="superscript"/>
              </w:rPr>
              <w:t>3</w:t>
            </w:r>
            <w:r>
              <w:rPr>
                <w:rFonts w:hint="eastAsia"/>
                <w:kern w:val="0"/>
                <w:sz w:val="20"/>
              </w:rPr>
              <w:t>；硫酸雾排放浓度≤45mg/m</w:t>
            </w:r>
            <w:r>
              <w:rPr>
                <w:rFonts w:hint="eastAsia"/>
                <w:kern w:val="0"/>
                <w:sz w:val="20"/>
                <w:vertAlign w:val="superscript"/>
              </w:rPr>
              <w:t>3</w:t>
            </w:r>
            <w:r>
              <w:rPr>
                <w:rFonts w:hint="eastAsia"/>
                <w:kern w:val="0"/>
                <w:sz w:val="20"/>
              </w:rPr>
              <w:t>。</w:t>
            </w:r>
          </w:p>
          <w:p>
            <w:pPr>
              <w:overflowPunct w:val="0"/>
              <w:topLinePunct/>
              <w:spacing w:line="270" w:lineRule="exact"/>
              <w:rPr>
                <w:rFonts w:hint="eastAsia"/>
                <w:kern w:val="0"/>
                <w:sz w:val="20"/>
                <w:lang w:val="en-US" w:eastAsia="zh-CN"/>
              </w:rPr>
            </w:pPr>
            <w:r>
              <w:rPr>
                <w:rFonts w:hint="eastAsia"/>
                <w:kern w:val="0"/>
                <w:sz w:val="20"/>
                <w:lang w:val="en-US" w:eastAsia="zh-CN"/>
              </w:rPr>
              <w:t>4、燃气锅炉：</w:t>
            </w:r>
            <w:r>
              <w:rPr>
                <w:rFonts w:hint="eastAsia"/>
                <w:kern w:val="0"/>
                <w:sz w:val="20"/>
              </w:rPr>
              <w:t>PM、SO</w:t>
            </w:r>
            <w:r>
              <w:rPr>
                <w:rFonts w:hint="eastAsia"/>
                <w:kern w:val="0"/>
                <w:sz w:val="20"/>
                <w:vertAlign w:val="subscript"/>
              </w:rPr>
              <w:t>2</w:t>
            </w:r>
            <w:r>
              <w:rPr>
                <w:rFonts w:hint="eastAsia"/>
                <w:kern w:val="0"/>
                <w:sz w:val="20"/>
              </w:rPr>
              <w:t>、NO</w:t>
            </w:r>
            <w:r>
              <w:rPr>
                <w:rFonts w:hint="eastAsia"/>
                <w:i/>
                <w:iCs/>
                <w:kern w:val="0"/>
                <w:sz w:val="20"/>
                <w:vertAlign w:val="subscript"/>
              </w:rPr>
              <w:t>x</w:t>
            </w:r>
            <w:r>
              <w:rPr>
                <w:rFonts w:hint="eastAsia"/>
                <w:kern w:val="0"/>
                <w:sz w:val="20"/>
              </w:rPr>
              <w:t>排放浓度分别不超过</w:t>
            </w:r>
            <w:r>
              <w:rPr>
                <w:rFonts w:hint="eastAsia"/>
                <w:kern w:val="0"/>
                <w:sz w:val="20"/>
                <w:lang w:val="en-US" w:eastAsia="zh-CN"/>
              </w:rPr>
              <w:t xml:space="preserve">5 </w:t>
            </w:r>
            <w:r>
              <w:rPr>
                <w:rFonts w:hint="eastAsia"/>
                <w:kern w:val="0"/>
                <w:sz w:val="20"/>
              </w:rPr>
              <w:t>mg/m</w:t>
            </w:r>
            <w:r>
              <w:rPr>
                <w:rFonts w:hint="eastAsia"/>
                <w:kern w:val="0"/>
                <w:sz w:val="20"/>
                <w:vertAlign w:val="superscript"/>
              </w:rPr>
              <w:t>3</w:t>
            </w:r>
            <w:r>
              <w:rPr>
                <w:rFonts w:hint="eastAsia"/>
                <w:kern w:val="0"/>
                <w:sz w:val="20"/>
              </w:rPr>
              <w:t>、</w:t>
            </w:r>
            <w:r>
              <w:rPr>
                <w:rFonts w:hint="eastAsia"/>
                <w:kern w:val="0"/>
                <w:sz w:val="20"/>
                <w:lang w:val="en-US" w:eastAsia="zh-CN"/>
              </w:rPr>
              <w:t xml:space="preserve">10 </w:t>
            </w:r>
            <w:r>
              <w:rPr>
                <w:rFonts w:hint="eastAsia"/>
                <w:kern w:val="0"/>
                <w:sz w:val="20"/>
              </w:rPr>
              <w:t>mg/m</w:t>
            </w:r>
            <w:r>
              <w:rPr>
                <w:rFonts w:hint="eastAsia"/>
                <w:kern w:val="0"/>
                <w:sz w:val="20"/>
                <w:vertAlign w:val="superscript"/>
              </w:rPr>
              <w:t>3</w:t>
            </w:r>
            <w:r>
              <w:rPr>
                <w:rFonts w:hint="eastAsia"/>
                <w:kern w:val="0"/>
                <w:sz w:val="20"/>
              </w:rPr>
              <w:t>和</w:t>
            </w:r>
            <w:r>
              <w:rPr>
                <w:rFonts w:hint="eastAsia"/>
                <w:kern w:val="0"/>
                <w:sz w:val="20"/>
                <w:lang w:val="en-US" w:eastAsia="zh-CN"/>
              </w:rPr>
              <w:t>3</w:t>
            </w:r>
            <w:r>
              <w:rPr>
                <w:rFonts w:hint="eastAsia"/>
                <w:kern w:val="0"/>
                <w:sz w:val="20"/>
              </w:rPr>
              <w:t>0</w:t>
            </w:r>
            <w:r>
              <w:rPr>
                <w:rFonts w:hint="eastAsia"/>
                <w:kern w:val="0"/>
                <w:sz w:val="20"/>
                <w:lang w:val="en-US" w:eastAsia="zh-CN"/>
              </w:rPr>
              <w:t xml:space="preserve"> </w:t>
            </w:r>
            <w:r>
              <w:rPr>
                <w:rFonts w:hint="eastAsia"/>
                <w:kern w:val="0"/>
                <w:sz w:val="20"/>
              </w:rPr>
              <w:t>mg/m</w:t>
            </w:r>
            <w:r>
              <w:rPr>
                <w:rFonts w:hint="eastAsia"/>
                <w:kern w:val="0"/>
                <w:sz w:val="20"/>
                <w:vertAlign w:val="superscript"/>
              </w:rPr>
              <w:t>3</w:t>
            </w:r>
            <w:r>
              <w:rPr>
                <w:rFonts w:hint="eastAsia"/>
                <w:kern w:val="0"/>
                <w:sz w:val="20"/>
              </w:rPr>
              <w:t>（基准氧含量</w:t>
            </w:r>
            <w:r>
              <w:rPr>
                <w:rFonts w:hint="eastAsia"/>
                <w:kern w:val="0"/>
                <w:sz w:val="20"/>
                <w:lang w:val="en-US" w:eastAsia="zh-CN"/>
              </w:rPr>
              <w:t>3.5</w:t>
            </w:r>
            <w:r>
              <w:rPr>
                <w:rFonts w:hint="eastAsia"/>
                <w:kern w:val="0"/>
                <w:sz w:val="20"/>
              </w:rPr>
              <w:t>%）</w:t>
            </w:r>
            <w:r>
              <w:rPr>
                <w:rFonts w:hint="eastAsia"/>
                <w:kern w:val="0"/>
                <w:sz w:val="20"/>
                <w:lang w:eastAsia="zh-CN"/>
              </w:rPr>
              <w:t>。</w:t>
            </w:r>
          </w:p>
        </w:tc>
        <w:tc>
          <w:tcPr>
            <w:tcW w:w="197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1、同A级第1条要求。</w:t>
            </w:r>
          </w:p>
          <w:p>
            <w:pPr>
              <w:overflowPunct w:val="0"/>
              <w:topLinePunct/>
              <w:spacing w:line="280" w:lineRule="exact"/>
              <w:rPr>
                <w:kern w:val="0"/>
                <w:sz w:val="20"/>
              </w:rPr>
            </w:pPr>
            <w:r>
              <w:rPr>
                <w:rFonts w:hint="eastAsia"/>
                <w:kern w:val="0"/>
                <w:sz w:val="20"/>
              </w:rPr>
              <w:t>2、造粒工序NH</w:t>
            </w:r>
            <w:r>
              <w:rPr>
                <w:rFonts w:hint="eastAsia"/>
                <w:kern w:val="0"/>
                <w:sz w:val="20"/>
                <w:vertAlign w:val="subscript"/>
              </w:rPr>
              <w:t>3</w:t>
            </w:r>
            <w:r>
              <w:rPr>
                <w:rFonts w:hint="eastAsia"/>
                <w:kern w:val="0"/>
                <w:sz w:val="20"/>
              </w:rPr>
              <w:t>排放浓度≤30mg/m</w:t>
            </w:r>
            <w:r>
              <w:rPr>
                <w:rFonts w:hint="eastAsia"/>
                <w:kern w:val="0"/>
                <w:sz w:val="20"/>
                <w:vertAlign w:val="superscript"/>
              </w:rPr>
              <w:t>3</w:t>
            </w:r>
            <w:r>
              <w:rPr>
                <w:rFonts w:hint="eastAsia"/>
                <w:kern w:val="0"/>
                <w:sz w:val="20"/>
              </w:rPr>
              <w:t>。</w:t>
            </w:r>
          </w:p>
          <w:p>
            <w:pPr>
              <w:overflowPunct w:val="0"/>
              <w:topLinePunct/>
              <w:spacing w:line="280" w:lineRule="exact"/>
              <w:rPr>
                <w:rFonts w:hint="eastAsia"/>
                <w:kern w:val="0"/>
                <w:sz w:val="20"/>
              </w:rPr>
            </w:pPr>
            <w:r>
              <w:rPr>
                <w:rFonts w:hint="eastAsia"/>
                <w:kern w:val="0"/>
                <w:sz w:val="20"/>
              </w:rPr>
              <w:t>3、同A级第3条要求。</w:t>
            </w:r>
          </w:p>
          <w:p>
            <w:pPr>
              <w:overflowPunct w:val="0"/>
              <w:topLinePunct/>
              <w:spacing w:line="280" w:lineRule="exact"/>
              <w:rPr>
                <w:rFonts w:hint="eastAsia"/>
                <w:kern w:val="0"/>
                <w:sz w:val="20"/>
                <w:lang w:val="en-US" w:eastAsia="zh-CN"/>
              </w:rPr>
            </w:pPr>
            <w:r>
              <w:rPr>
                <w:rFonts w:hint="eastAsia"/>
                <w:kern w:val="0"/>
                <w:sz w:val="20"/>
                <w:lang w:val="en-US" w:eastAsia="zh-CN"/>
              </w:rPr>
              <w:t>4、燃气锅炉：</w:t>
            </w:r>
            <w:r>
              <w:rPr>
                <w:rFonts w:hint="eastAsia"/>
                <w:kern w:val="0"/>
                <w:sz w:val="20"/>
              </w:rPr>
              <w:t>PM、SO</w:t>
            </w:r>
            <w:r>
              <w:rPr>
                <w:rFonts w:hint="eastAsia"/>
                <w:kern w:val="0"/>
                <w:sz w:val="20"/>
                <w:vertAlign w:val="subscript"/>
              </w:rPr>
              <w:t>2</w:t>
            </w:r>
            <w:r>
              <w:rPr>
                <w:rFonts w:hint="eastAsia"/>
                <w:kern w:val="0"/>
                <w:sz w:val="20"/>
              </w:rPr>
              <w:t>、NO</w:t>
            </w:r>
            <w:r>
              <w:rPr>
                <w:rFonts w:hint="eastAsia"/>
                <w:i/>
                <w:iCs/>
                <w:kern w:val="0"/>
                <w:sz w:val="20"/>
                <w:vertAlign w:val="subscript"/>
              </w:rPr>
              <w:t>x</w:t>
            </w:r>
            <w:r>
              <w:rPr>
                <w:rFonts w:hint="eastAsia"/>
                <w:kern w:val="0"/>
                <w:sz w:val="20"/>
              </w:rPr>
              <w:t>排放浓度分别不超过</w:t>
            </w:r>
            <w:r>
              <w:rPr>
                <w:rFonts w:hint="eastAsia"/>
                <w:kern w:val="0"/>
                <w:sz w:val="20"/>
                <w:lang w:val="en-US" w:eastAsia="zh-CN"/>
              </w:rPr>
              <w:t xml:space="preserve">5 </w:t>
            </w:r>
            <w:r>
              <w:rPr>
                <w:rFonts w:hint="eastAsia"/>
                <w:kern w:val="0"/>
                <w:sz w:val="20"/>
              </w:rPr>
              <w:t>mg/m</w:t>
            </w:r>
            <w:r>
              <w:rPr>
                <w:rFonts w:hint="eastAsia"/>
                <w:kern w:val="0"/>
                <w:sz w:val="20"/>
                <w:vertAlign w:val="superscript"/>
              </w:rPr>
              <w:t>3</w:t>
            </w:r>
            <w:r>
              <w:rPr>
                <w:rFonts w:hint="eastAsia"/>
                <w:kern w:val="0"/>
                <w:sz w:val="20"/>
              </w:rPr>
              <w:t>、</w:t>
            </w:r>
            <w:r>
              <w:rPr>
                <w:rFonts w:hint="eastAsia"/>
                <w:kern w:val="0"/>
                <w:sz w:val="20"/>
                <w:lang w:val="en-US" w:eastAsia="zh-CN"/>
              </w:rPr>
              <w:t xml:space="preserve">10 </w:t>
            </w:r>
            <w:r>
              <w:rPr>
                <w:rFonts w:hint="eastAsia"/>
                <w:kern w:val="0"/>
                <w:sz w:val="20"/>
              </w:rPr>
              <w:t>mg/m</w:t>
            </w:r>
            <w:r>
              <w:rPr>
                <w:rFonts w:hint="eastAsia"/>
                <w:kern w:val="0"/>
                <w:sz w:val="20"/>
                <w:vertAlign w:val="superscript"/>
              </w:rPr>
              <w:t>3</w:t>
            </w:r>
            <w:r>
              <w:rPr>
                <w:rFonts w:hint="eastAsia"/>
                <w:kern w:val="0"/>
                <w:sz w:val="20"/>
              </w:rPr>
              <w:t>和</w:t>
            </w:r>
            <w:r>
              <w:rPr>
                <w:rFonts w:hint="eastAsia"/>
                <w:kern w:val="0"/>
                <w:sz w:val="20"/>
                <w:lang w:val="en-US" w:eastAsia="zh-CN"/>
              </w:rPr>
              <w:t>5</w:t>
            </w:r>
            <w:r>
              <w:rPr>
                <w:rFonts w:hint="eastAsia"/>
                <w:kern w:val="0"/>
                <w:sz w:val="20"/>
              </w:rPr>
              <w:t>0</w:t>
            </w:r>
            <w:r>
              <w:rPr>
                <w:rFonts w:hint="eastAsia"/>
                <w:kern w:val="0"/>
                <w:sz w:val="20"/>
                <w:lang w:val="en-US" w:eastAsia="zh-CN"/>
              </w:rPr>
              <w:t xml:space="preserve"> </w:t>
            </w:r>
            <w:r>
              <w:rPr>
                <w:rFonts w:hint="eastAsia"/>
                <w:kern w:val="0"/>
                <w:sz w:val="20"/>
              </w:rPr>
              <w:t>mg/m</w:t>
            </w:r>
            <w:r>
              <w:rPr>
                <w:rFonts w:hint="eastAsia"/>
                <w:kern w:val="0"/>
                <w:sz w:val="20"/>
                <w:vertAlign w:val="superscript"/>
              </w:rPr>
              <w:t>3</w:t>
            </w:r>
            <w:r>
              <w:rPr>
                <w:rFonts w:hint="eastAsia"/>
                <w:kern w:val="0"/>
                <w:sz w:val="20"/>
              </w:rPr>
              <w:t>（基准氧含量</w:t>
            </w:r>
            <w:r>
              <w:rPr>
                <w:rFonts w:hint="eastAsia"/>
                <w:kern w:val="0"/>
                <w:sz w:val="20"/>
                <w:lang w:val="en-US" w:eastAsia="zh-CN"/>
              </w:rPr>
              <w:t>3.5</w:t>
            </w:r>
            <w:r>
              <w:rPr>
                <w:rFonts w:hint="eastAsia"/>
                <w:kern w:val="0"/>
                <w:sz w:val="20"/>
              </w:rPr>
              <w:t>%</w:t>
            </w:r>
            <w:r>
              <w:rPr>
                <w:rFonts w:hint="eastAsia"/>
                <w:kern w:val="0"/>
                <w:sz w:val="20"/>
                <w:lang w:eastAsia="zh-CN"/>
              </w:rPr>
              <w:t>，高污染燃料禁燃区内</w:t>
            </w:r>
            <w:r>
              <w:rPr>
                <w:rFonts w:hint="eastAsia"/>
                <w:kern w:val="0"/>
                <w:sz w:val="20"/>
                <w:lang w:val="en-US" w:eastAsia="zh-CN"/>
              </w:rPr>
              <w:t>NO</w:t>
            </w:r>
            <w:r>
              <w:rPr>
                <w:rFonts w:hint="eastAsia"/>
                <w:i/>
                <w:iCs/>
                <w:kern w:val="0"/>
                <w:sz w:val="20"/>
                <w:vertAlign w:val="subscript"/>
                <w:lang w:val="en-US" w:eastAsia="zh-CN"/>
              </w:rPr>
              <w:t>x</w:t>
            </w:r>
            <w:r>
              <w:rPr>
                <w:rFonts w:hint="eastAsia"/>
                <w:kern w:val="0"/>
                <w:sz w:val="20"/>
                <w:lang w:val="en-US" w:eastAsia="zh-CN"/>
              </w:rPr>
              <w:t xml:space="preserve">执行30 </w:t>
            </w:r>
            <w:r>
              <w:rPr>
                <w:rFonts w:hint="eastAsia"/>
                <w:kern w:val="0"/>
                <w:sz w:val="20"/>
              </w:rPr>
              <w:t>mg/m</w:t>
            </w:r>
            <w:r>
              <w:rPr>
                <w:rFonts w:hint="eastAsia"/>
                <w:kern w:val="0"/>
                <w:sz w:val="20"/>
                <w:vertAlign w:val="superscript"/>
              </w:rPr>
              <w:t>3</w:t>
            </w:r>
            <w:r>
              <w:rPr>
                <w:rFonts w:hint="eastAsia"/>
                <w:kern w:val="0"/>
                <w:sz w:val="20"/>
              </w:rPr>
              <w:t>）</w:t>
            </w:r>
            <w:r>
              <w:rPr>
                <w:rFonts w:hint="eastAsia"/>
                <w:kern w:val="0"/>
                <w:sz w:val="20"/>
                <w:lang w:val="en-US" w:eastAsia="zh-CN"/>
              </w:rPr>
              <w:t>。</w:t>
            </w:r>
          </w:p>
          <w:p>
            <w:pPr>
              <w:overflowPunct w:val="0"/>
              <w:topLinePunct/>
              <w:spacing w:line="280" w:lineRule="exact"/>
              <w:rPr>
                <w:rFonts w:hint="eastAsia" w:eastAsia="仿宋_GB2312"/>
                <w:kern w:val="0"/>
                <w:sz w:val="20"/>
                <w:lang w:val="en-US" w:eastAsia="zh-CN"/>
              </w:rPr>
            </w:pPr>
            <w:r>
              <w:rPr>
                <w:rFonts w:hint="eastAsia"/>
                <w:kern w:val="0"/>
                <w:sz w:val="20"/>
                <w:lang w:val="en-US" w:eastAsia="zh-CN"/>
              </w:rPr>
              <w:t>燃煤锅炉：</w:t>
            </w:r>
            <w:r>
              <w:rPr>
                <w:rFonts w:hint="eastAsia"/>
                <w:spacing w:val="0"/>
                <w:sz w:val="20"/>
              </w:rPr>
              <w:t>PM、SO</w:t>
            </w:r>
            <w:r>
              <w:rPr>
                <w:rFonts w:hint="eastAsia"/>
                <w:spacing w:val="0"/>
                <w:sz w:val="20"/>
                <w:vertAlign w:val="subscript"/>
              </w:rPr>
              <w:t>2</w:t>
            </w:r>
            <w:r>
              <w:rPr>
                <w:rFonts w:hint="eastAsia"/>
                <w:spacing w:val="0"/>
                <w:sz w:val="20"/>
              </w:rPr>
              <w:t>、NO</w:t>
            </w:r>
            <w:r>
              <w:rPr>
                <w:rFonts w:hint="eastAsia"/>
                <w:i/>
                <w:iCs/>
                <w:spacing w:val="0"/>
                <w:sz w:val="20"/>
                <w:vertAlign w:val="subscript"/>
              </w:rPr>
              <w:t>x</w:t>
            </w:r>
            <w:r>
              <w:rPr>
                <w:rFonts w:hint="eastAsia"/>
                <w:spacing w:val="0"/>
                <w:sz w:val="20"/>
              </w:rPr>
              <w:t>排放浓度分别不高于：10、35、50mg/m</w:t>
            </w:r>
            <w:r>
              <w:rPr>
                <w:rFonts w:hint="eastAsia"/>
                <w:spacing w:val="0"/>
                <w:sz w:val="20"/>
                <w:vertAlign w:val="superscript"/>
              </w:rPr>
              <w:t>3</w:t>
            </w:r>
            <w:r>
              <w:rPr>
                <w:rFonts w:hint="eastAsia"/>
                <w:spacing w:val="0"/>
                <w:sz w:val="20"/>
              </w:rPr>
              <w:t>（基准含氧量</w:t>
            </w:r>
            <w:r>
              <w:rPr>
                <w:rFonts w:hint="eastAsia"/>
                <w:spacing w:val="0"/>
                <w:sz w:val="20"/>
                <w:lang w:val="en-US" w:eastAsia="zh-CN"/>
              </w:rPr>
              <w:t>6</w:t>
            </w:r>
            <w:r>
              <w:rPr>
                <w:rFonts w:hint="eastAsia"/>
                <w:spacing w:val="0"/>
                <w:sz w:val="20"/>
              </w:rPr>
              <w:t>%</w:t>
            </w:r>
            <w:r>
              <w:rPr>
                <w:rFonts w:hint="eastAsia"/>
                <w:spacing w:val="0"/>
                <w:sz w:val="20"/>
                <w:lang w:eastAsia="zh-CN"/>
              </w:rPr>
              <w:t>）。</w:t>
            </w:r>
          </w:p>
        </w:tc>
        <w:tc>
          <w:tcPr>
            <w:tcW w:w="713"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42"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jc w:val="center"/>
              <w:rPr>
                <w:rFonts w:eastAsia="黑体"/>
                <w:kern w:val="0"/>
                <w:sz w:val="20"/>
              </w:rPr>
            </w:pPr>
          </w:p>
        </w:tc>
        <w:tc>
          <w:tcPr>
            <w:tcW w:w="3844" w:type="pct"/>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lang w:val="en-US" w:eastAsia="zh-CN"/>
              </w:rPr>
              <w:t>1</w:t>
            </w:r>
            <w:r>
              <w:rPr>
                <w:rFonts w:hint="eastAsia"/>
                <w:kern w:val="0"/>
                <w:sz w:val="20"/>
              </w:rPr>
              <w:t>、氨逃逸排放浓度不高于8mg/m</w:t>
            </w:r>
            <w:r>
              <w:rPr>
                <w:rFonts w:hint="eastAsia"/>
                <w:kern w:val="0"/>
                <w:sz w:val="20"/>
                <w:vertAlign w:val="superscript"/>
              </w:rPr>
              <w:t>3</w:t>
            </w:r>
            <w:r>
              <w:rPr>
                <w:rFonts w:hint="eastAsia"/>
                <w:kern w:val="0"/>
                <w:sz w:val="20"/>
              </w:rPr>
              <w:t>（脱硝工艺）。</w:t>
            </w:r>
          </w:p>
          <w:p>
            <w:pPr>
              <w:overflowPunct w:val="0"/>
              <w:topLinePunct/>
              <w:spacing w:line="270" w:lineRule="exact"/>
              <w:rPr>
                <w:kern w:val="0"/>
                <w:sz w:val="20"/>
              </w:rPr>
            </w:pPr>
            <w:r>
              <w:rPr>
                <w:rFonts w:hint="default"/>
                <w:kern w:val="0"/>
                <w:sz w:val="20"/>
                <w:lang w:val="en-US"/>
              </w:rPr>
              <w:t>2</w:t>
            </w:r>
            <w:r>
              <w:rPr>
                <w:rFonts w:hint="eastAsia"/>
                <w:kern w:val="0"/>
                <w:sz w:val="20"/>
              </w:rPr>
              <w:t>、厂界NH</w:t>
            </w:r>
            <w:r>
              <w:rPr>
                <w:rFonts w:hint="eastAsia"/>
                <w:kern w:val="0"/>
                <w:sz w:val="20"/>
                <w:vertAlign w:val="subscript"/>
              </w:rPr>
              <w:t>3</w:t>
            </w:r>
            <w:r>
              <w:rPr>
                <w:rFonts w:hint="eastAsia"/>
                <w:kern w:val="0"/>
                <w:sz w:val="20"/>
              </w:rPr>
              <w:t>浓度≤0.75mg/m</w:t>
            </w:r>
            <w:r>
              <w:rPr>
                <w:rFonts w:hint="eastAsia"/>
                <w:kern w:val="0"/>
                <w:sz w:val="20"/>
                <w:vertAlign w:val="superscript"/>
              </w:rPr>
              <w:t>3</w:t>
            </w:r>
            <w:r>
              <w:rPr>
                <w:rFonts w:hint="eastAsia"/>
                <w:kern w:val="0"/>
                <w:sz w:val="20"/>
              </w:rPr>
              <w:t>、氯化氢浓度≤0.25mg/m</w:t>
            </w:r>
            <w:r>
              <w:rPr>
                <w:rFonts w:hint="eastAsia"/>
                <w:kern w:val="0"/>
                <w:sz w:val="20"/>
                <w:vertAlign w:val="superscript"/>
              </w:rPr>
              <w:t>3</w:t>
            </w:r>
            <w:r>
              <w:rPr>
                <w:rFonts w:hint="eastAsia"/>
                <w:kern w:val="0"/>
                <w:sz w:val="20"/>
              </w:rPr>
              <w:t>、硫酸雾浓度≤1.5mg/m</w:t>
            </w:r>
            <w:r>
              <w:rPr>
                <w:rFonts w:hint="eastAsia"/>
                <w:kern w:val="0"/>
                <w:sz w:val="20"/>
                <w:vertAlign w:val="superscript"/>
              </w:rPr>
              <w:t>3</w:t>
            </w:r>
            <w:r>
              <w:rPr>
                <w:rFonts w:hint="eastAsia"/>
                <w:kern w:val="0"/>
                <w:sz w:val="20"/>
              </w:rPr>
              <w:t>。</w:t>
            </w:r>
          </w:p>
          <w:p>
            <w:pPr>
              <w:overflowPunct w:val="0"/>
              <w:topLinePunct/>
              <w:spacing w:line="270" w:lineRule="exact"/>
              <w:rPr>
                <w:kern w:val="0"/>
                <w:sz w:val="20"/>
              </w:rPr>
            </w:pPr>
            <w:r>
              <w:rPr>
                <w:rFonts w:hint="default"/>
                <w:kern w:val="0"/>
                <w:sz w:val="20"/>
                <w:lang w:val="en-US"/>
              </w:rPr>
              <w:t>3</w:t>
            </w:r>
            <w:r>
              <w:rPr>
                <w:rFonts w:hint="eastAsia"/>
                <w:kern w:val="0"/>
                <w:sz w:val="20"/>
              </w:rPr>
              <w:t>、其他各项污染物稳定达到现行排放控制要求。</w:t>
            </w:r>
          </w:p>
        </w:tc>
        <w:tc>
          <w:tcPr>
            <w:tcW w:w="713"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42"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jc w:val="center"/>
              <w:rPr>
                <w:rFonts w:eastAsia="黑体"/>
                <w:kern w:val="0"/>
                <w:sz w:val="20"/>
              </w:rPr>
            </w:pPr>
            <w:r>
              <w:rPr>
                <w:rFonts w:hint="eastAsia" w:eastAsia="黑体"/>
                <w:kern w:val="0"/>
                <w:sz w:val="20"/>
              </w:rPr>
              <w:t>监测监控水平</w:t>
            </w:r>
          </w:p>
        </w:tc>
        <w:tc>
          <w:tcPr>
            <w:tcW w:w="3844"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70" w:lineRule="exact"/>
              <w:rPr>
                <w:kern w:val="0"/>
                <w:sz w:val="20"/>
              </w:rPr>
            </w:pPr>
            <w:r>
              <w:rPr>
                <w:rFonts w:hint="eastAsia"/>
                <w:kern w:val="0"/>
                <w:sz w:val="20"/>
              </w:rPr>
              <w:t>1、重点排污单位及排污许可重点管理单位主要排</w:t>
            </w:r>
            <w:r>
              <w:rPr>
                <w:rFonts w:hint="eastAsia"/>
                <w:kern w:val="0"/>
                <w:sz w:val="20"/>
                <w:lang w:eastAsia="zh-CN"/>
              </w:rPr>
              <w:t>放</w:t>
            </w:r>
            <w:r>
              <w:rPr>
                <w:rFonts w:hint="eastAsia"/>
                <w:kern w:val="0"/>
                <w:sz w:val="20"/>
              </w:rPr>
              <w:t>口安装污染物排放自动监测设备（CEMS），并与生态环境主管部门的监控设备联网，数据保存一年以上（投产或安装时间不满一年的企业，以现有数据为准）。</w:t>
            </w:r>
          </w:p>
          <w:p>
            <w:pPr>
              <w:tabs>
                <w:tab w:val="left" w:pos="267"/>
              </w:tabs>
              <w:overflowPunct w:val="0"/>
              <w:topLinePunct/>
              <w:spacing w:line="270" w:lineRule="exact"/>
              <w:rPr>
                <w:kern w:val="0"/>
                <w:sz w:val="20"/>
              </w:rPr>
            </w:pPr>
            <w:r>
              <w:rPr>
                <w:rFonts w:hint="eastAsia"/>
                <w:kern w:val="0"/>
                <w:sz w:val="20"/>
              </w:rPr>
              <w:t>2、按照排污许可证、行业自行监测指南或排污单位自行监测技术指南等相关要求开展自行监测。</w:t>
            </w:r>
          </w:p>
          <w:p>
            <w:pPr>
              <w:tabs>
                <w:tab w:val="left" w:pos="267"/>
              </w:tabs>
              <w:overflowPunct w:val="0"/>
              <w:topLinePunct/>
              <w:spacing w:line="270" w:lineRule="exact"/>
              <w:rPr>
                <w:kern w:val="0"/>
                <w:sz w:val="20"/>
              </w:rPr>
            </w:pPr>
            <w:r>
              <w:rPr>
                <w:rFonts w:hint="eastAsia"/>
                <w:kern w:val="0"/>
                <w:sz w:val="20"/>
              </w:rPr>
              <w:t>3、厂区货运进出口、易产尘点安装高清视频监控系统，视频监控数据保存3个月以上。</w:t>
            </w:r>
          </w:p>
          <w:p>
            <w:pPr>
              <w:overflowPunct w:val="0"/>
              <w:topLinePunct/>
              <w:spacing w:line="270" w:lineRule="exact"/>
              <w:rPr>
                <w:kern w:val="0"/>
                <w:sz w:val="20"/>
              </w:rPr>
            </w:pPr>
            <w:r>
              <w:rPr>
                <w:rFonts w:hint="eastAsia"/>
                <w:kern w:val="0"/>
                <w:sz w:val="20"/>
                <w:lang w:val="en-US" w:eastAsia="zh-CN"/>
              </w:rPr>
              <w:t>4</w:t>
            </w:r>
            <w:r>
              <w:rPr>
                <w:rFonts w:hint="eastAsia"/>
                <w:kern w:val="0"/>
                <w:sz w:val="20"/>
              </w:rPr>
              <w:t>、企业主要环保设施及生产设施安装分布式控制系统（DCS）或可保存和查看历史数据的可编程控制系统（PLC），记录企业环保设施运行及相关生产过程主要参数，数据保存一年以上。</w:t>
            </w:r>
          </w:p>
        </w:tc>
        <w:tc>
          <w:tcPr>
            <w:tcW w:w="71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42"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jc w:val="center"/>
              <w:rPr>
                <w:rFonts w:eastAsia="黑体"/>
                <w:kern w:val="0"/>
                <w:sz w:val="20"/>
              </w:rPr>
            </w:pPr>
            <w:r>
              <w:rPr>
                <w:rFonts w:hint="eastAsia" w:eastAsia="黑体"/>
                <w:kern w:val="0"/>
                <w:sz w:val="20"/>
              </w:rPr>
              <w:t>环境管理水平</w:t>
            </w:r>
          </w:p>
        </w:tc>
        <w:tc>
          <w:tcPr>
            <w:tcW w:w="4557" w:type="pct"/>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rPr>
                <w:kern w:val="0"/>
                <w:sz w:val="20"/>
              </w:rPr>
            </w:pPr>
            <w:r>
              <w:rPr>
                <w:rFonts w:hint="eastAsia"/>
                <w:kern w:val="0"/>
                <w:sz w:val="20"/>
              </w:rPr>
              <w:t>环保档案：1、环评批复文件和竣工环保验收文件或者环境现状评估备案证明；2、排污许可证或固定污染物源排污登记回执；3、环境管理制度（有组织、无组织排放长效管理机制，主要包括岗位责任制度、达标公示制度和定期巡查维护制度等）；4、废气治理设施运行管理规程；5、一年内废气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42"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jc w:val="center"/>
              <w:rPr>
                <w:rFonts w:eastAsia="黑体"/>
                <w:kern w:val="0"/>
                <w:sz w:val="20"/>
              </w:rPr>
            </w:pPr>
          </w:p>
        </w:tc>
        <w:tc>
          <w:tcPr>
            <w:tcW w:w="3844"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70" w:lineRule="exact"/>
              <w:rPr>
                <w:kern w:val="0"/>
                <w:sz w:val="20"/>
              </w:rPr>
            </w:pPr>
            <w:r>
              <w:rPr>
                <w:rFonts w:hint="eastAsia"/>
                <w:kern w:val="0"/>
                <w:sz w:val="20"/>
              </w:rPr>
              <w:t>台账记录：1、生产设施运行管理信息（生产时间、运行负荷、产品产量等）；2、废气污染治理设施运行管理信息；3、监测记录信息（主要污染排放口废气排放记录等）；4、主要原辅材料消耗记录；5、燃料消耗记录；6、一般固废、危废处理记录。</w:t>
            </w:r>
          </w:p>
        </w:tc>
        <w:tc>
          <w:tcPr>
            <w:tcW w:w="71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42"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jc w:val="center"/>
              <w:rPr>
                <w:rFonts w:eastAsia="黑体"/>
                <w:kern w:val="0"/>
                <w:sz w:val="20"/>
              </w:rPr>
            </w:pPr>
          </w:p>
        </w:tc>
        <w:tc>
          <w:tcPr>
            <w:tcW w:w="4557" w:type="pct"/>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rPr>
                <w:kern w:val="0"/>
                <w:sz w:val="20"/>
              </w:rPr>
            </w:pPr>
            <w:r>
              <w:rPr>
                <w:rFonts w:hint="eastAsia"/>
                <w:kern w:val="0"/>
                <w:sz w:val="20"/>
              </w:rPr>
              <w:t>人员配置：设置环保部门，配备专职环保人员，并具备相应的环境管理能力（学历、培训、从业经验等）。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56" w:hRule="atLeast"/>
        </w:trPr>
        <w:tc>
          <w:tcPr>
            <w:tcW w:w="442"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jc w:val="center"/>
              <w:rPr>
                <w:rFonts w:eastAsia="黑体"/>
                <w:kern w:val="0"/>
                <w:sz w:val="20"/>
              </w:rPr>
            </w:pPr>
            <w:r>
              <w:rPr>
                <w:rFonts w:hint="eastAsia" w:eastAsia="黑体"/>
                <w:kern w:val="0"/>
                <w:sz w:val="20"/>
              </w:rPr>
              <w:t>运输方式</w:t>
            </w:r>
          </w:p>
        </w:tc>
        <w:tc>
          <w:tcPr>
            <w:tcW w:w="1871"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70" w:lineRule="exact"/>
              <w:ind w:left="0"/>
              <w:rPr>
                <w:kern w:val="0"/>
                <w:sz w:val="20"/>
              </w:rPr>
            </w:pPr>
            <w:r>
              <w:rPr>
                <w:rFonts w:hint="eastAsia"/>
                <w:kern w:val="0"/>
                <w:sz w:val="20"/>
              </w:rPr>
              <w:t>1、物料、产品公路运输全部使用国五及以上排放标准重型载货车辆（含燃气）或新能源车辆等清洁运输方式。</w:t>
            </w:r>
          </w:p>
          <w:p>
            <w:pPr>
              <w:tabs>
                <w:tab w:val="left" w:pos="267"/>
              </w:tabs>
              <w:overflowPunct w:val="0"/>
              <w:topLinePunct/>
              <w:spacing w:line="270" w:lineRule="exact"/>
              <w:ind w:left="0"/>
              <w:rPr>
                <w:kern w:val="0"/>
                <w:sz w:val="20"/>
              </w:rPr>
            </w:pPr>
            <w:r>
              <w:rPr>
                <w:rFonts w:hint="eastAsia"/>
                <w:kern w:val="0"/>
                <w:sz w:val="20"/>
              </w:rPr>
              <w:t>2、厂内运输车辆全部达到国五及以上排放标准（含燃气）或使用新能源车辆。</w:t>
            </w:r>
          </w:p>
          <w:p>
            <w:pPr>
              <w:tabs>
                <w:tab w:val="left" w:pos="267"/>
              </w:tabs>
              <w:overflowPunct w:val="0"/>
              <w:topLinePunct/>
              <w:spacing w:line="270" w:lineRule="exact"/>
              <w:ind w:left="0"/>
              <w:rPr>
                <w:kern w:val="0"/>
                <w:sz w:val="20"/>
              </w:rPr>
            </w:pPr>
            <w:r>
              <w:rPr>
                <w:rFonts w:hint="eastAsia"/>
                <w:kern w:val="0"/>
                <w:sz w:val="20"/>
              </w:rPr>
              <w:t>3、厂内非道路移动机械全部达到国三及以上排放标准或使用新能源机械。</w:t>
            </w:r>
          </w:p>
        </w:tc>
        <w:tc>
          <w:tcPr>
            <w:tcW w:w="1973"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70" w:lineRule="exact"/>
              <w:ind w:left="0"/>
              <w:rPr>
                <w:kern w:val="0"/>
                <w:sz w:val="20"/>
              </w:rPr>
            </w:pPr>
            <w:r>
              <w:rPr>
                <w:rFonts w:hint="eastAsia"/>
                <w:kern w:val="0"/>
                <w:sz w:val="20"/>
              </w:rPr>
              <w:t>1、物料、产品公路运输使用国五及以上排放标准重型载货车辆（含燃气）或新能源车辆等清洁运输方式的比例不低于80%。</w:t>
            </w:r>
          </w:p>
          <w:p>
            <w:pPr>
              <w:tabs>
                <w:tab w:val="left" w:pos="267"/>
              </w:tabs>
              <w:overflowPunct w:val="0"/>
              <w:topLinePunct/>
              <w:spacing w:line="270" w:lineRule="exact"/>
              <w:ind w:left="0"/>
              <w:rPr>
                <w:kern w:val="0"/>
                <w:sz w:val="20"/>
              </w:rPr>
            </w:pPr>
            <w:r>
              <w:rPr>
                <w:rFonts w:hint="eastAsia"/>
                <w:kern w:val="0"/>
                <w:sz w:val="20"/>
              </w:rPr>
              <w:t>2、厂内运输车辆达到国五及以上排放标准（含燃气）或使用新能源车辆比例不低于80%。</w:t>
            </w:r>
          </w:p>
          <w:p>
            <w:pPr>
              <w:tabs>
                <w:tab w:val="left" w:pos="267"/>
              </w:tabs>
              <w:overflowPunct w:val="0"/>
              <w:topLinePunct/>
              <w:spacing w:line="270" w:lineRule="exact"/>
              <w:ind w:left="0"/>
              <w:rPr>
                <w:kern w:val="0"/>
                <w:sz w:val="20"/>
              </w:rPr>
            </w:pPr>
            <w:r>
              <w:rPr>
                <w:rFonts w:hint="eastAsia"/>
                <w:kern w:val="0"/>
                <w:sz w:val="20"/>
              </w:rPr>
              <w:t>3、厂内非道路移动机械达到国三及以上排放标准或使用新能源机械比例不低于80%。</w:t>
            </w:r>
          </w:p>
        </w:tc>
        <w:tc>
          <w:tcPr>
            <w:tcW w:w="71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trPr>
        <w:tc>
          <w:tcPr>
            <w:tcW w:w="442"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jc w:val="center"/>
              <w:rPr>
                <w:rFonts w:eastAsia="黑体"/>
                <w:kern w:val="0"/>
                <w:sz w:val="20"/>
              </w:rPr>
            </w:pPr>
            <w:r>
              <w:rPr>
                <w:rFonts w:hint="eastAsia" w:eastAsia="黑体"/>
                <w:kern w:val="0"/>
                <w:sz w:val="20"/>
              </w:rPr>
              <w:t>运输监管</w:t>
            </w:r>
          </w:p>
        </w:tc>
        <w:tc>
          <w:tcPr>
            <w:tcW w:w="384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267"/>
              </w:tabs>
              <w:kinsoku/>
              <w:wordWrap/>
              <w:overflowPunct w:val="0"/>
              <w:topLinePunct/>
              <w:autoSpaceDE/>
              <w:autoSpaceDN/>
              <w:bidi w:val="0"/>
              <w:adjustRightInd/>
              <w:snapToGrid/>
              <w:spacing w:line="270" w:lineRule="exact"/>
              <w:ind w:left="0"/>
              <w:textAlignment w:val="auto"/>
              <w:rPr>
                <w:kern w:val="0"/>
                <w:sz w:val="20"/>
              </w:rPr>
            </w:pPr>
            <w:r>
              <w:rPr>
                <w:rFonts w:hint="eastAsia"/>
                <w:kern w:val="0"/>
                <w:sz w:val="20"/>
                <w:lang w:eastAsia="zh-CN"/>
              </w:rPr>
              <w:t>建立门禁系统和电子台账，创建要求参照《重点行业移动源监管与核查技术指南》（</w:t>
            </w:r>
            <w:r>
              <w:rPr>
                <w:rFonts w:hint="eastAsia"/>
                <w:kern w:val="0"/>
                <w:sz w:val="20"/>
                <w:lang w:val="en-US" w:eastAsia="zh-CN"/>
              </w:rPr>
              <w:t>HJ 1321</w:t>
            </w:r>
            <w:r>
              <w:rPr>
                <w:rFonts w:hint="eastAsia"/>
                <w:kern w:val="0"/>
                <w:sz w:val="20"/>
                <w:lang w:eastAsia="zh-CN"/>
              </w:rPr>
              <w:t>）</w:t>
            </w:r>
            <w:r>
              <w:rPr>
                <w:rFonts w:hint="eastAsia"/>
                <w:kern w:val="0"/>
                <w:sz w:val="20"/>
              </w:rPr>
              <w:t>。</w:t>
            </w:r>
          </w:p>
        </w:tc>
        <w:tc>
          <w:tcPr>
            <w:tcW w:w="71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70" w:lineRule="exact"/>
              <w:rPr>
                <w:kern w:val="0"/>
                <w:sz w:val="20"/>
              </w:rPr>
            </w:pPr>
            <w:r>
              <w:rPr>
                <w:rFonts w:hint="eastAsia"/>
                <w:kern w:val="0"/>
                <w:sz w:val="20"/>
              </w:rPr>
              <w:t>未达到A、B级要求。</w:t>
            </w:r>
          </w:p>
        </w:tc>
      </w:tr>
    </w:tbl>
    <w:p>
      <w:pPr>
        <w:overflowPunct w:val="0"/>
        <w:topLinePunct/>
        <w:jc w:val="center"/>
        <w:rPr>
          <w:rFonts w:eastAsia="宋体"/>
          <w:kern w:val="0"/>
          <w:sz w:val="22"/>
          <w:szCs w:val="22"/>
        </w:rPr>
      </w:pPr>
    </w:p>
    <w:p>
      <w:pPr>
        <w:overflowPunct w:val="0"/>
        <w:topLinePunct/>
        <w:spacing w:line="360" w:lineRule="auto"/>
        <w:rPr>
          <w:sz w:val="4"/>
        </w:rPr>
        <w:sectPr>
          <w:headerReference r:id="rId23" w:type="default"/>
          <w:footerReference r:id="rId25" w:type="default"/>
          <w:headerReference r:id="rId24" w:type="even"/>
          <w:footerReference r:id="rId26" w:type="even"/>
          <w:pgSz w:w="16840" w:h="11910" w:orient="landscape"/>
          <w:pgMar w:top="1588" w:right="2098" w:bottom="1474" w:left="1247" w:header="851" w:footer="992" w:gutter="0"/>
          <w:cols w:space="720" w:num="1"/>
          <w:docGrid w:linePitch="286" w:charSpace="0"/>
        </w:sectPr>
      </w:pPr>
    </w:p>
    <w:p>
      <w:pPr>
        <w:overflowPunct w:val="0"/>
        <w:topLinePunct/>
        <w:spacing w:line="500" w:lineRule="exact"/>
        <w:ind w:firstLine="576" w:firstLineChars="200"/>
        <w:outlineLvl w:val="2"/>
        <w:rPr>
          <w:rFonts w:eastAsia="楷体_GB2312"/>
          <w:kern w:val="0"/>
          <w:sz w:val="30"/>
          <w:szCs w:val="30"/>
        </w:rPr>
      </w:pPr>
      <w:bookmarkStart w:id="37" w:name="_Toc17764"/>
      <w:bookmarkStart w:id="38" w:name="_Toc121413337"/>
      <w:r>
        <w:rPr>
          <w:rFonts w:eastAsia="楷体_GB2312"/>
          <w:kern w:val="0"/>
          <w:sz w:val="30"/>
          <w:szCs w:val="30"/>
        </w:rPr>
        <w:t>（五）减排措施</w:t>
      </w:r>
      <w:bookmarkEnd w:id="37"/>
      <w:bookmarkEnd w:id="38"/>
    </w:p>
    <w:p>
      <w:pPr>
        <w:overflowPunct w:val="0"/>
        <w:topLinePunct/>
        <w:spacing w:line="500" w:lineRule="exact"/>
        <w:ind w:firstLine="576" w:firstLineChars="200"/>
        <w:rPr>
          <w:sz w:val="30"/>
          <w:szCs w:val="30"/>
        </w:rPr>
      </w:pPr>
      <w:r>
        <w:rPr>
          <w:sz w:val="30"/>
          <w:szCs w:val="30"/>
        </w:rPr>
        <w:t>1、A级企业</w:t>
      </w:r>
    </w:p>
    <w:p>
      <w:pPr>
        <w:overflowPunct w:val="0"/>
        <w:topLinePunct/>
        <w:spacing w:line="500" w:lineRule="exact"/>
        <w:ind w:firstLine="576" w:firstLineChars="200"/>
        <w:rPr>
          <w:sz w:val="30"/>
          <w:szCs w:val="30"/>
        </w:rPr>
      </w:pPr>
      <w:r>
        <w:rPr>
          <w:sz w:val="30"/>
          <w:szCs w:val="30"/>
        </w:rPr>
        <w:t>鼓励结合实际，自主采取减排措施。</w:t>
      </w:r>
    </w:p>
    <w:p>
      <w:pPr>
        <w:overflowPunct w:val="0"/>
        <w:topLinePunct/>
        <w:spacing w:line="500" w:lineRule="exact"/>
        <w:ind w:firstLine="576" w:firstLineChars="200"/>
        <w:rPr>
          <w:sz w:val="30"/>
          <w:szCs w:val="30"/>
        </w:rPr>
      </w:pPr>
      <w:r>
        <w:rPr>
          <w:sz w:val="30"/>
          <w:szCs w:val="30"/>
        </w:rPr>
        <w:t>2、B级企业</w:t>
      </w:r>
    </w:p>
    <w:p>
      <w:pPr>
        <w:overflowPunct w:val="0"/>
        <w:topLinePunct/>
        <w:spacing w:line="500" w:lineRule="exact"/>
        <w:ind w:firstLine="576" w:firstLineChars="200"/>
        <w:rPr>
          <w:sz w:val="30"/>
          <w:szCs w:val="30"/>
        </w:rPr>
      </w:pPr>
      <w:r>
        <w:rPr>
          <w:sz w:val="30"/>
          <w:szCs w:val="30"/>
        </w:rPr>
        <w:t>黄色预警期间：停止使用国四及以下重型载货车辆（含燃气）进行运输。</w:t>
      </w:r>
    </w:p>
    <w:p>
      <w:pPr>
        <w:overflowPunct w:val="0"/>
        <w:topLinePunct/>
        <w:spacing w:line="500" w:lineRule="exact"/>
        <w:ind w:firstLine="576" w:firstLineChars="200"/>
        <w:rPr>
          <w:sz w:val="30"/>
          <w:szCs w:val="30"/>
        </w:rPr>
      </w:pPr>
      <w:r>
        <w:rPr>
          <w:sz w:val="30"/>
          <w:szCs w:val="30"/>
        </w:rPr>
        <w:t>橙色预警期间：造粒、干燥等涉气工序限产30%，以“环评批复产能、排污许可载明产能、前一年正常生产实际产量”三者日均值的最小值为基准核算；停止使用国四及以下重型载货车辆（含燃气）进行物料运输。</w:t>
      </w:r>
    </w:p>
    <w:p>
      <w:pPr>
        <w:overflowPunct w:val="0"/>
        <w:topLinePunct/>
        <w:spacing w:line="500" w:lineRule="exact"/>
        <w:ind w:firstLine="576" w:firstLineChars="200"/>
        <w:rPr>
          <w:sz w:val="30"/>
          <w:szCs w:val="30"/>
        </w:rPr>
      </w:pPr>
      <w:r>
        <w:rPr>
          <w:sz w:val="30"/>
          <w:szCs w:val="30"/>
        </w:rPr>
        <w:t>红色预警期间：造粒、干燥等涉气工序限产50%，以“环评批复产能、排污许可载明产能、前一年正常生产实际产量”三者日均值的最小值为基准核算；停止使用国四及以下重型载货车辆（含燃气）进行物料运输。</w:t>
      </w:r>
    </w:p>
    <w:p>
      <w:pPr>
        <w:overflowPunct w:val="0"/>
        <w:topLinePunct/>
        <w:spacing w:line="500" w:lineRule="exact"/>
        <w:ind w:firstLine="576" w:firstLineChars="200"/>
        <w:rPr>
          <w:sz w:val="30"/>
          <w:szCs w:val="30"/>
        </w:rPr>
      </w:pPr>
      <w:r>
        <w:rPr>
          <w:sz w:val="30"/>
          <w:szCs w:val="30"/>
        </w:rPr>
        <w:t>3、C级企业</w:t>
      </w:r>
    </w:p>
    <w:p>
      <w:pPr>
        <w:overflowPunct w:val="0"/>
        <w:topLinePunct/>
        <w:spacing w:line="500" w:lineRule="exact"/>
        <w:ind w:firstLine="576" w:firstLineChars="200"/>
        <w:rPr>
          <w:sz w:val="30"/>
          <w:szCs w:val="30"/>
        </w:rPr>
      </w:pPr>
      <w:r>
        <w:rPr>
          <w:sz w:val="30"/>
          <w:szCs w:val="30"/>
        </w:rPr>
        <w:t>黄色预警期间：造粒、干燥等涉气工序限产50%，以“环评批复产能、排污许可载明产能、前一年正常生产实际产量”三者日均值的最小值为基准核算；停止使用国四及以下重型载货车辆（含燃气）进行物料运输。</w:t>
      </w:r>
    </w:p>
    <w:p>
      <w:pPr>
        <w:overflowPunct w:val="0"/>
        <w:topLinePunct/>
        <w:spacing w:line="500" w:lineRule="exact"/>
        <w:ind w:firstLine="576" w:firstLineChars="200"/>
        <w:rPr>
          <w:sz w:val="30"/>
          <w:szCs w:val="30"/>
        </w:rPr>
      </w:pPr>
      <w:r>
        <w:rPr>
          <w:sz w:val="30"/>
          <w:szCs w:val="30"/>
        </w:rPr>
        <w:t>橙色和红色预警期间：造粒、干燥等涉气工序停产；停止使用国四及以下重型载货车辆（含燃气）进行物料运输。</w:t>
      </w:r>
    </w:p>
    <w:p>
      <w:pPr>
        <w:overflowPunct w:val="0"/>
        <w:topLinePunct/>
        <w:spacing w:line="500" w:lineRule="exact"/>
        <w:ind w:firstLine="576" w:firstLineChars="200"/>
        <w:rPr>
          <w:sz w:val="30"/>
          <w:szCs w:val="30"/>
        </w:rPr>
      </w:pPr>
      <w:r>
        <w:rPr>
          <w:sz w:val="30"/>
          <w:szCs w:val="30"/>
        </w:rPr>
        <w:t>4、备注</w:t>
      </w:r>
    </w:p>
    <w:p>
      <w:pPr>
        <w:overflowPunct w:val="0"/>
        <w:topLinePunct/>
        <w:spacing w:line="500" w:lineRule="exact"/>
        <w:ind w:firstLine="576" w:firstLineChars="200"/>
        <w:rPr>
          <w:sz w:val="30"/>
          <w:szCs w:val="30"/>
        </w:rPr>
      </w:pPr>
      <w:r>
        <w:rPr>
          <w:sz w:val="30"/>
          <w:szCs w:val="30"/>
        </w:rPr>
        <w:t>（1）针对连续生产的磷肥制造企业，</w:t>
      </w:r>
      <w:r>
        <w:rPr>
          <w:rFonts w:hint="eastAsia"/>
          <w:sz w:val="30"/>
          <w:szCs w:val="30"/>
          <w:lang w:eastAsia="zh-CN"/>
        </w:rPr>
        <w:t>以及</w:t>
      </w:r>
      <w:r>
        <w:rPr>
          <w:sz w:val="30"/>
          <w:szCs w:val="30"/>
        </w:rPr>
        <w:t>难以中断的有机肥企业，建议在重污染频发的秋冬季期间，提前调整生产计划，确保企业能够有效落实应急减排措施。鼓励地方管理部门根据企业绩效分级水平，实施差异化轮流生产。</w:t>
      </w:r>
    </w:p>
    <w:p>
      <w:pPr>
        <w:overflowPunct w:val="0"/>
        <w:topLinePunct/>
        <w:spacing w:line="500" w:lineRule="exact"/>
        <w:ind w:firstLine="576" w:firstLineChars="200"/>
        <w:rPr>
          <w:sz w:val="30"/>
          <w:szCs w:val="30"/>
        </w:rPr>
      </w:pPr>
      <w:r>
        <w:rPr>
          <w:sz w:val="30"/>
          <w:szCs w:val="30"/>
        </w:rPr>
        <w:t>（2）对于复混肥企业集中的地市，可以结合实际情况，实行轮流停产减排。</w:t>
      </w:r>
    </w:p>
    <w:p>
      <w:pPr>
        <w:overflowPunct w:val="0"/>
        <w:topLinePunct/>
        <w:spacing w:line="500" w:lineRule="exact"/>
        <w:ind w:firstLine="576" w:firstLineChars="200"/>
        <w:rPr>
          <w:sz w:val="30"/>
          <w:szCs w:val="30"/>
        </w:rPr>
      </w:pPr>
      <w:r>
        <w:rPr>
          <w:sz w:val="30"/>
          <w:szCs w:val="30"/>
        </w:rPr>
        <w:t>（3）对于处理城市垃圾等涉及保障民生、保障城市正常运转或涉及国家战略性产业的工业企业和重大工程项目，原则上应达到B级</w:t>
      </w:r>
      <w:r>
        <w:rPr>
          <w:rFonts w:hint="eastAsia"/>
          <w:sz w:val="30"/>
          <w:szCs w:val="30"/>
        </w:rPr>
        <w:t>及</w:t>
      </w:r>
      <w:r>
        <w:rPr>
          <w:sz w:val="30"/>
          <w:szCs w:val="30"/>
        </w:rPr>
        <w:t>以上绩效分级指标水平，保障类企业在预警期间仅准许从事特定保障任务的生产经营。</w:t>
      </w:r>
    </w:p>
    <w:p>
      <w:pPr>
        <w:overflowPunct w:val="0"/>
        <w:topLinePunct/>
        <w:spacing w:line="500" w:lineRule="exact"/>
        <w:ind w:firstLine="576" w:firstLineChars="200"/>
        <w:outlineLvl w:val="2"/>
        <w:rPr>
          <w:rFonts w:eastAsia="楷体_GB2312"/>
          <w:kern w:val="0"/>
          <w:sz w:val="30"/>
          <w:szCs w:val="30"/>
        </w:rPr>
      </w:pPr>
      <w:bookmarkStart w:id="39" w:name="_Toc121413338"/>
      <w:bookmarkStart w:id="40" w:name="_Toc14067"/>
      <w:r>
        <w:rPr>
          <w:rFonts w:eastAsia="楷体_GB2312"/>
          <w:kern w:val="0"/>
          <w:sz w:val="30"/>
          <w:szCs w:val="30"/>
        </w:rPr>
        <w:t>（六）核查方法</w:t>
      </w:r>
      <w:bookmarkEnd w:id="39"/>
      <w:bookmarkEnd w:id="40"/>
    </w:p>
    <w:p>
      <w:pPr>
        <w:overflowPunct w:val="0"/>
        <w:topLinePunct/>
        <w:spacing w:line="500" w:lineRule="exact"/>
        <w:ind w:firstLine="576" w:firstLineChars="200"/>
        <w:rPr>
          <w:rFonts w:hint="eastAsia" w:eastAsia="仿宋_GB2312"/>
          <w:sz w:val="30"/>
          <w:szCs w:val="30"/>
          <w:lang w:eastAsia="zh-CN"/>
        </w:rPr>
      </w:pPr>
      <w:r>
        <w:rPr>
          <w:sz w:val="30"/>
          <w:szCs w:val="30"/>
        </w:rPr>
        <w:t>1、电量分析：调取企业用电量情况，</w:t>
      </w:r>
      <w:r>
        <w:rPr>
          <w:rFonts w:hint="eastAsia"/>
          <w:sz w:val="30"/>
          <w:szCs w:val="30"/>
          <w:lang w:eastAsia="zh-CN"/>
        </w:rPr>
        <w:t>分析历史预警前后</w:t>
      </w:r>
      <w:r>
        <w:rPr>
          <w:sz w:val="30"/>
          <w:szCs w:val="30"/>
        </w:rPr>
        <w:t>企业用电量变化，比对采取减排措施期间的用电量</w:t>
      </w:r>
      <w:r>
        <w:rPr>
          <w:spacing w:val="0"/>
          <w:sz w:val="30"/>
          <w:szCs w:val="30"/>
        </w:rPr>
        <w:t>是否</w:t>
      </w:r>
      <w:r>
        <w:rPr>
          <w:rFonts w:hint="eastAsia"/>
          <w:spacing w:val="0"/>
          <w:sz w:val="30"/>
          <w:szCs w:val="30"/>
          <w:lang w:eastAsia="zh-CN"/>
        </w:rPr>
        <w:t>明显</w:t>
      </w:r>
      <w:r>
        <w:rPr>
          <w:spacing w:val="0"/>
          <w:sz w:val="30"/>
          <w:szCs w:val="30"/>
        </w:rPr>
        <w:t>下降</w:t>
      </w:r>
      <w:r>
        <w:rPr>
          <w:rFonts w:hint="eastAsia"/>
          <w:sz w:val="30"/>
          <w:szCs w:val="30"/>
          <w:lang w:eastAsia="zh-CN"/>
        </w:rPr>
        <w:t>。</w:t>
      </w:r>
    </w:p>
    <w:p>
      <w:pPr>
        <w:overflowPunct w:val="0"/>
        <w:topLinePunct/>
        <w:spacing w:line="500" w:lineRule="exact"/>
        <w:ind w:firstLine="576" w:firstLineChars="200"/>
        <w:rPr>
          <w:sz w:val="30"/>
          <w:szCs w:val="30"/>
        </w:rPr>
      </w:pPr>
      <w:r>
        <w:rPr>
          <w:sz w:val="30"/>
          <w:szCs w:val="30"/>
        </w:rPr>
        <w:t>2、现场核查：核查破碎、造粒、干燥、冷却等主要生产设备，预警期间是否按要求实施停限产；查看污染治理设施是否稳定运行。</w:t>
      </w:r>
    </w:p>
    <w:p>
      <w:pPr>
        <w:overflowPunct w:val="0"/>
        <w:topLinePunct/>
        <w:spacing w:line="500" w:lineRule="exact"/>
        <w:ind w:firstLine="576" w:firstLineChars="200"/>
        <w:rPr>
          <w:sz w:val="30"/>
          <w:szCs w:val="30"/>
        </w:rPr>
      </w:pPr>
      <w:r>
        <w:rPr>
          <w:sz w:val="30"/>
          <w:szCs w:val="30"/>
        </w:rPr>
        <w:t>3、台账核查：重点核查生产设施开停机记录表；核查企业生产台账记录。</w:t>
      </w:r>
    </w:p>
    <w:p>
      <w:pPr>
        <w:overflowPunct w:val="0"/>
        <w:topLinePunct/>
        <w:spacing w:line="500" w:lineRule="exact"/>
        <w:ind w:firstLine="576" w:firstLineChars="200"/>
        <w:rPr>
          <w:sz w:val="30"/>
          <w:szCs w:val="30"/>
        </w:rPr>
      </w:pPr>
      <w:r>
        <w:rPr>
          <w:sz w:val="30"/>
          <w:szCs w:val="30"/>
        </w:rPr>
        <w:t>4、运输核查：调取厂区货运进出口视频监控记录，比对预警前后厂区汽车运输情况，检查是否符合要求；现场抽查</w:t>
      </w:r>
      <w:r>
        <w:rPr>
          <w:rFonts w:hint="eastAsia"/>
          <w:sz w:val="30"/>
          <w:szCs w:val="30"/>
          <w:lang w:eastAsia="zh-CN"/>
        </w:rPr>
        <w:t>运输</w:t>
      </w:r>
      <w:r>
        <w:rPr>
          <w:sz w:val="30"/>
          <w:szCs w:val="30"/>
        </w:rPr>
        <w:t>车辆，核查排放标准是否符合要求。</w:t>
      </w:r>
    </w:p>
    <w:p>
      <w:pPr>
        <w:overflowPunct w:val="0"/>
        <w:topLinePunct/>
        <w:spacing w:line="500" w:lineRule="exact"/>
        <w:ind w:firstLine="576" w:firstLineChars="200"/>
        <w:outlineLvl w:val="1"/>
        <w:rPr>
          <w:rFonts w:eastAsia="黑体"/>
          <w:kern w:val="0"/>
          <w:sz w:val="30"/>
          <w:szCs w:val="30"/>
        </w:rPr>
      </w:pPr>
      <w:bookmarkStart w:id="41" w:name="_Toc2275"/>
      <w:bookmarkStart w:id="42" w:name="_Toc121413339"/>
      <w:r>
        <w:rPr>
          <w:rFonts w:eastAsia="黑体"/>
          <w:kern w:val="0"/>
          <w:sz w:val="30"/>
          <w:szCs w:val="30"/>
        </w:rPr>
        <w:t>四、塑料制品</w:t>
      </w:r>
      <w:bookmarkEnd w:id="41"/>
      <w:bookmarkEnd w:id="42"/>
    </w:p>
    <w:p>
      <w:pPr>
        <w:overflowPunct w:val="0"/>
        <w:topLinePunct/>
        <w:spacing w:line="500" w:lineRule="exact"/>
        <w:ind w:firstLine="576" w:firstLineChars="200"/>
        <w:outlineLvl w:val="2"/>
        <w:rPr>
          <w:rFonts w:eastAsia="楷体_GB2312"/>
          <w:kern w:val="0"/>
          <w:sz w:val="30"/>
          <w:szCs w:val="30"/>
        </w:rPr>
      </w:pPr>
      <w:bookmarkStart w:id="43" w:name="_Toc14634"/>
      <w:bookmarkStart w:id="44" w:name="_Toc121413340"/>
      <w:r>
        <w:rPr>
          <w:rFonts w:eastAsia="楷体_GB2312"/>
          <w:kern w:val="0"/>
          <w:sz w:val="30"/>
          <w:szCs w:val="30"/>
        </w:rPr>
        <w:t>（一）适用范围</w:t>
      </w:r>
      <w:bookmarkEnd w:id="43"/>
      <w:bookmarkEnd w:id="44"/>
    </w:p>
    <w:p>
      <w:pPr>
        <w:overflowPunct w:val="0"/>
        <w:topLinePunct/>
        <w:spacing w:line="500" w:lineRule="exact"/>
        <w:ind w:firstLine="576" w:firstLineChars="200"/>
        <w:rPr>
          <w:sz w:val="30"/>
          <w:szCs w:val="30"/>
        </w:rPr>
      </w:pPr>
      <w:r>
        <w:rPr>
          <w:sz w:val="30"/>
          <w:szCs w:val="30"/>
        </w:rPr>
        <w:t>适用于《国民经济行业分类》（GB/T4754-2017）中的C292塑料制品业（不含C2925塑料人造革、合成革制造</w:t>
      </w:r>
      <w:r>
        <w:rPr>
          <w:rFonts w:hint="eastAsia"/>
          <w:sz w:val="30"/>
          <w:szCs w:val="30"/>
          <w:lang w:eastAsia="zh-CN"/>
        </w:rPr>
        <w:t>，</w:t>
      </w:r>
      <w:r>
        <w:rPr>
          <w:sz w:val="30"/>
          <w:szCs w:val="30"/>
        </w:rPr>
        <w:t>以及利用回收废塑料加工再生产塑料制品）的工业企业。企业中印刷、涂装等工序参照《重污染天气重点行业应急减排措施制定技术指南》中的包装印刷、工业涂装等行业进行评级。</w:t>
      </w:r>
    </w:p>
    <w:p>
      <w:pPr>
        <w:overflowPunct w:val="0"/>
        <w:topLinePunct/>
        <w:spacing w:line="500" w:lineRule="exact"/>
        <w:ind w:firstLine="576" w:firstLineChars="200"/>
        <w:outlineLvl w:val="2"/>
        <w:rPr>
          <w:rFonts w:eastAsia="楷体_GB2312"/>
          <w:kern w:val="0"/>
          <w:sz w:val="30"/>
          <w:szCs w:val="30"/>
        </w:rPr>
      </w:pPr>
      <w:bookmarkStart w:id="45" w:name="_Toc121413341"/>
      <w:bookmarkStart w:id="46" w:name="_Toc10306"/>
      <w:r>
        <w:rPr>
          <w:rFonts w:eastAsia="楷体_GB2312"/>
          <w:kern w:val="0"/>
          <w:sz w:val="30"/>
          <w:szCs w:val="30"/>
        </w:rPr>
        <w:t>（二）生产工艺</w:t>
      </w:r>
      <w:bookmarkEnd w:id="45"/>
      <w:bookmarkEnd w:id="46"/>
    </w:p>
    <w:p>
      <w:pPr>
        <w:overflowPunct w:val="0"/>
        <w:topLinePunct/>
        <w:spacing w:line="500" w:lineRule="exact"/>
        <w:ind w:firstLine="576" w:firstLineChars="200"/>
        <w:rPr>
          <w:sz w:val="30"/>
          <w:szCs w:val="30"/>
        </w:rPr>
      </w:pPr>
      <w:r>
        <w:rPr>
          <w:sz w:val="30"/>
          <w:szCs w:val="30"/>
        </w:rPr>
        <w:t>1、主要生产工艺：配料（碎料）、挤出成型、注塑成型、吹塑成型、拉丝、造粒、切粒、发泡、熟化等。</w:t>
      </w:r>
    </w:p>
    <w:p>
      <w:pPr>
        <w:overflowPunct w:val="0"/>
        <w:topLinePunct/>
        <w:spacing w:line="500" w:lineRule="exact"/>
        <w:ind w:firstLine="576" w:firstLineChars="200"/>
        <w:rPr>
          <w:sz w:val="30"/>
          <w:szCs w:val="30"/>
        </w:rPr>
      </w:pPr>
      <w:r>
        <w:rPr>
          <w:sz w:val="30"/>
          <w:szCs w:val="30"/>
        </w:rPr>
        <w:t>2、主要原辅材料：聚乙烯（PE）、聚丙烯（PP）、高密度聚乙烯（HDPE）、低密度聚乙烯（LDPE）、聚氯乙烯（PVC）、丙烯腈-丁二烯-苯乙烯共</w:t>
      </w:r>
      <w:r>
        <w:rPr>
          <w:rFonts w:hint="eastAsia"/>
          <w:sz w:val="30"/>
          <w:szCs w:val="30"/>
          <w:lang w:val="en-US" w:eastAsia="zh-Hans"/>
        </w:rPr>
        <w:t>聚合物</w:t>
      </w:r>
      <w:r>
        <w:rPr>
          <w:sz w:val="30"/>
          <w:szCs w:val="30"/>
        </w:rPr>
        <w:t>（ABS）、聚酰胺（PA）、聚碳酸树脂（PC）、聚对苯二甲酸乙二醇酯（PET）、异氰酸酯、色母、发泡剂、由废旧塑料生产的再生树脂等。</w:t>
      </w:r>
    </w:p>
    <w:p>
      <w:pPr>
        <w:overflowPunct w:val="0"/>
        <w:topLinePunct/>
        <w:spacing w:line="500" w:lineRule="exact"/>
        <w:ind w:firstLine="576" w:firstLineChars="200"/>
        <w:rPr>
          <w:sz w:val="30"/>
          <w:szCs w:val="30"/>
        </w:rPr>
      </w:pPr>
      <w:r>
        <w:rPr>
          <w:sz w:val="30"/>
          <w:szCs w:val="30"/>
        </w:rPr>
        <w:t>3、主要能源：电、燃料煤、燃料油、天然气、液化石油气、生物质燃料等。</w:t>
      </w:r>
    </w:p>
    <w:p>
      <w:pPr>
        <w:overflowPunct w:val="0"/>
        <w:topLinePunct/>
        <w:spacing w:line="500" w:lineRule="exact"/>
        <w:ind w:firstLine="576" w:firstLineChars="200"/>
        <w:outlineLvl w:val="2"/>
        <w:rPr>
          <w:rFonts w:eastAsia="楷体_GB2312"/>
          <w:kern w:val="0"/>
          <w:sz w:val="30"/>
          <w:szCs w:val="30"/>
        </w:rPr>
      </w:pPr>
      <w:bookmarkStart w:id="47" w:name="_Toc17574"/>
      <w:bookmarkStart w:id="48" w:name="_Toc121413342"/>
      <w:r>
        <w:rPr>
          <w:rFonts w:eastAsia="楷体_GB2312"/>
          <w:kern w:val="0"/>
          <w:sz w:val="30"/>
          <w:szCs w:val="30"/>
        </w:rPr>
        <w:t>（三）主要污染物产排环节</w:t>
      </w:r>
      <w:bookmarkEnd w:id="47"/>
      <w:bookmarkEnd w:id="48"/>
    </w:p>
    <w:p>
      <w:pPr>
        <w:overflowPunct w:val="0"/>
        <w:topLinePunct/>
        <w:spacing w:line="500" w:lineRule="exact"/>
        <w:ind w:firstLine="576" w:firstLineChars="200"/>
        <w:rPr>
          <w:sz w:val="30"/>
          <w:szCs w:val="30"/>
        </w:rPr>
      </w:pPr>
      <w:r>
        <w:rPr>
          <w:sz w:val="30"/>
          <w:szCs w:val="30"/>
        </w:rPr>
        <w:t>1、</w:t>
      </w:r>
      <w:r>
        <w:rPr>
          <w:rFonts w:hint="eastAsia"/>
          <w:sz w:val="30"/>
          <w:szCs w:val="30"/>
        </w:rPr>
        <w:t>颗粒物（</w:t>
      </w:r>
      <w:r>
        <w:rPr>
          <w:sz w:val="30"/>
          <w:szCs w:val="30"/>
        </w:rPr>
        <w:t>PM</w:t>
      </w:r>
      <w:r>
        <w:rPr>
          <w:rFonts w:hint="eastAsia"/>
          <w:sz w:val="30"/>
          <w:szCs w:val="30"/>
        </w:rPr>
        <w:t>）</w:t>
      </w:r>
      <w:r>
        <w:rPr>
          <w:sz w:val="30"/>
          <w:szCs w:val="30"/>
        </w:rPr>
        <w:t>：主要来自配混料、碎料废气。</w:t>
      </w:r>
    </w:p>
    <w:p>
      <w:pPr>
        <w:overflowPunct w:val="0"/>
        <w:topLinePunct/>
        <w:spacing w:line="500" w:lineRule="exact"/>
        <w:ind w:firstLine="576" w:firstLineChars="200"/>
        <w:rPr>
          <w:sz w:val="30"/>
          <w:szCs w:val="30"/>
        </w:rPr>
      </w:pPr>
      <w:r>
        <w:rPr>
          <w:sz w:val="30"/>
          <w:szCs w:val="30"/>
        </w:rPr>
        <w:t>2、</w:t>
      </w:r>
      <w:r>
        <w:rPr>
          <w:rFonts w:hint="eastAsia"/>
          <w:sz w:val="30"/>
          <w:szCs w:val="30"/>
        </w:rPr>
        <w:t>挥发性有机物（</w:t>
      </w:r>
      <w:r>
        <w:rPr>
          <w:sz w:val="30"/>
          <w:szCs w:val="30"/>
        </w:rPr>
        <w:t>VOCs</w:t>
      </w:r>
      <w:r>
        <w:rPr>
          <w:rFonts w:hint="eastAsia"/>
          <w:sz w:val="30"/>
          <w:szCs w:val="30"/>
        </w:rPr>
        <w:t>）</w:t>
      </w:r>
      <w:r>
        <w:rPr>
          <w:sz w:val="30"/>
          <w:szCs w:val="30"/>
        </w:rPr>
        <w:t>：主要来自挤出成型、注塑成型、吹塑成型、拉丝、造粒等工序。</w:t>
      </w:r>
    </w:p>
    <w:p>
      <w:pPr>
        <w:overflowPunct w:val="0"/>
        <w:topLinePunct/>
        <w:spacing w:line="500" w:lineRule="exact"/>
        <w:ind w:firstLine="576" w:firstLineChars="200"/>
        <w:rPr>
          <w:rFonts w:hint="eastAsia" w:eastAsia="仿宋_GB2312"/>
          <w:sz w:val="30"/>
          <w:szCs w:val="30"/>
          <w:lang w:eastAsia="zh-CN"/>
        </w:rPr>
        <w:sectPr>
          <w:headerReference r:id="rId27" w:type="default"/>
          <w:footerReference r:id="rId29" w:type="default"/>
          <w:headerReference r:id="rId28" w:type="even"/>
          <w:footerReference r:id="rId30" w:type="even"/>
          <w:pgSz w:w="11910" w:h="16840"/>
          <w:pgMar w:top="2098" w:right="1474" w:bottom="1247" w:left="1588" w:header="851" w:footer="992" w:gutter="0"/>
          <w:cols w:space="720" w:num="1"/>
          <w:docGrid w:linePitch="286" w:charSpace="0"/>
        </w:sectPr>
      </w:pPr>
      <w:r>
        <w:rPr>
          <w:sz w:val="30"/>
          <w:szCs w:val="30"/>
        </w:rPr>
        <w:t>3、</w:t>
      </w:r>
      <w:r>
        <w:rPr>
          <w:rFonts w:hint="eastAsia"/>
          <w:sz w:val="30"/>
          <w:szCs w:val="30"/>
        </w:rPr>
        <w:t>二氧化硫（</w:t>
      </w:r>
      <w:r>
        <w:rPr>
          <w:sz w:val="30"/>
          <w:szCs w:val="30"/>
        </w:rPr>
        <w:t>SO</w:t>
      </w:r>
      <w:r>
        <w:rPr>
          <w:sz w:val="30"/>
          <w:szCs w:val="30"/>
          <w:vertAlign w:val="subscript"/>
        </w:rPr>
        <w:t>2</w:t>
      </w:r>
      <w:r>
        <w:rPr>
          <w:rFonts w:hint="eastAsia"/>
          <w:sz w:val="30"/>
          <w:szCs w:val="30"/>
        </w:rPr>
        <w:t>）</w:t>
      </w:r>
      <w:r>
        <w:rPr>
          <w:sz w:val="30"/>
          <w:szCs w:val="30"/>
        </w:rPr>
        <w:t>、</w:t>
      </w:r>
      <w:r>
        <w:rPr>
          <w:rFonts w:hint="eastAsia"/>
          <w:sz w:val="30"/>
          <w:szCs w:val="30"/>
        </w:rPr>
        <w:t>氮氧化物（</w:t>
      </w:r>
      <w:r>
        <w:rPr>
          <w:sz w:val="30"/>
          <w:szCs w:val="30"/>
        </w:rPr>
        <w:t>NO</w:t>
      </w:r>
      <w:r>
        <w:rPr>
          <w:i/>
          <w:iCs/>
          <w:sz w:val="30"/>
          <w:szCs w:val="30"/>
          <w:vertAlign w:val="subscript"/>
        </w:rPr>
        <w:t>x</w:t>
      </w:r>
      <w:r>
        <w:rPr>
          <w:rFonts w:hint="eastAsia"/>
          <w:sz w:val="30"/>
          <w:szCs w:val="30"/>
        </w:rPr>
        <w:t>）</w:t>
      </w:r>
      <w:r>
        <w:rPr>
          <w:sz w:val="30"/>
          <w:szCs w:val="30"/>
        </w:rPr>
        <w:t>：主要来自锅炉</w:t>
      </w:r>
      <w:r>
        <w:rPr>
          <w:rFonts w:hint="eastAsia"/>
          <w:sz w:val="30"/>
          <w:szCs w:val="30"/>
          <w:lang w:eastAsia="zh-CN"/>
        </w:rPr>
        <w:t>燃料燃烧。</w:t>
      </w:r>
    </w:p>
    <w:p>
      <w:pPr>
        <w:overflowPunct w:val="0"/>
        <w:topLinePunct/>
        <w:spacing w:line="360" w:lineRule="auto"/>
        <w:jc w:val="left"/>
        <w:outlineLvl w:val="2"/>
        <w:rPr>
          <w:rFonts w:eastAsia="楷体_GB2312"/>
          <w:kern w:val="0"/>
          <w:sz w:val="30"/>
          <w:szCs w:val="30"/>
        </w:rPr>
      </w:pPr>
      <w:bookmarkStart w:id="49" w:name="_Toc13858"/>
      <w:bookmarkStart w:id="50" w:name="_Toc121413343"/>
      <w:r>
        <w:rPr>
          <w:rFonts w:eastAsia="楷体_GB2312"/>
          <w:kern w:val="0"/>
          <w:sz w:val="30"/>
          <w:szCs w:val="30"/>
        </w:rPr>
        <w:t>（四）绩效</w:t>
      </w:r>
      <w:r>
        <w:rPr>
          <w:rFonts w:hint="eastAsia" w:eastAsia="楷体_GB2312"/>
          <w:kern w:val="0"/>
          <w:sz w:val="30"/>
          <w:szCs w:val="30"/>
          <w:lang w:val="en-US" w:eastAsia="zh-CN"/>
        </w:rPr>
        <w:t>引领</w:t>
      </w:r>
      <w:r>
        <w:rPr>
          <w:rFonts w:eastAsia="楷体_GB2312"/>
          <w:kern w:val="0"/>
          <w:sz w:val="30"/>
          <w:szCs w:val="30"/>
        </w:rPr>
        <w:t>性指标</w:t>
      </w:r>
      <w:bookmarkEnd w:id="49"/>
      <w:bookmarkEnd w:id="50"/>
    </w:p>
    <w:p>
      <w:pPr>
        <w:overflowPunct w:val="0"/>
        <w:topLinePunct/>
        <w:jc w:val="center"/>
        <w:rPr>
          <w:rFonts w:eastAsia="黑体"/>
          <w:kern w:val="0"/>
          <w:sz w:val="24"/>
          <w:szCs w:val="24"/>
        </w:rPr>
      </w:pPr>
      <w:r>
        <w:rPr>
          <w:rFonts w:eastAsia="黑体"/>
          <w:kern w:val="0"/>
          <w:sz w:val="24"/>
          <w:szCs w:val="24"/>
        </w:rPr>
        <w:t>表4-1  塑料制品企业绩效引领性指标</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724"/>
        <w:gridCol w:w="10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blHeader/>
          <w:jc w:val="center"/>
        </w:trPr>
        <w:tc>
          <w:tcPr>
            <w:tcW w:w="100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引领性指标</w:t>
            </w:r>
          </w:p>
        </w:tc>
        <w:tc>
          <w:tcPr>
            <w:tcW w:w="39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塑料制品行业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00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原料、能源类型</w:t>
            </w:r>
          </w:p>
        </w:tc>
        <w:tc>
          <w:tcPr>
            <w:tcW w:w="3994" w:type="pct"/>
            <w:tcBorders>
              <w:top w:val="single" w:color="auto" w:sz="4" w:space="0"/>
              <w:left w:val="single" w:color="auto" w:sz="4" w:space="0"/>
              <w:bottom w:val="single" w:color="auto" w:sz="4" w:space="0"/>
              <w:right w:val="single" w:color="auto" w:sz="4" w:space="0"/>
            </w:tcBorders>
            <w:vAlign w:val="center"/>
          </w:tcPr>
          <w:p>
            <w:pPr>
              <w:numPr>
                <w:ilvl w:val="0"/>
                <w:numId w:val="3"/>
              </w:numPr>
              <w:overflowPunct w:val="0"/>
              <w:topLinePunct/>
              <w:spacing w:line="320" w:lineRule="exact"/>
              <w:rPr>
                <w:rFonts w:hint="eastAsia"/>
                <w:kern w:val="0"/>
                <w:sz w:val="20"/>
              </w:rPr>
            </w:pPr>
            <w:r>
              <w:rPr>
                <w:rFonts w:hint="eastAsia"/>
                <w:kern w:val="0"/>
                <w:sz w:val="20"/>
              </w:rPr>
              <w:t>原料全部使用非再生料（即使用原包料，非废旧塑料）</w:t>
            </w:r>
            <w:r>
              <w:rPr>
                <w:rFonts w:hint="eastAsia"/>
                <w:kern w:val="0"/>
                <w:sz w:val="20"/>
                <w:lang w:eastAsia="zh-CN"/>
              </w:rPr>
              <w:t>。</w:t>
            </w:r>
          </w:p>
          <w:p>
            <w:pPr>
              <w:numPr>
                <w:ilvl w:val="0"/>
                <w:numId w:val="3"/>
              </w:numPr>
              <w:overflowPunct w:val="0"/>
              <w:topLinePunct/>
              <w:spacing w:line="320" w:lineRule="exact"/>
              <w:rPr>
                <w:kern w:val="0"/>
                <w:sz w:val="20"/>
              </w:rPr>
            </w:pPr>
            <w:r>
              <w:rPr>
                <w:rFonts w:hint="eastAsia"/>
                <w:kern w:val="0"/>
                <w:sz w:val="20"/>
              </w:rPr>
              <w:t>能源使用电、天然气、液化石油气等清洁能源。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00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生产工艺及装备水平</w:t>
            </w:r>
          </w:p>
        </w:tc>
        <w:tc>
          <w:tcPr>
            <w:tcW w:w="39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属于《产业结构调整指导目录》鼓励类。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00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污染治理技术</w:t>
            </w:r>
          </w:p>
        </w:tc>
        <w:tc>
          <w:tcPr>
            <w:tcW w:w="3994" w:type="pct"/>
            <w:tcBorders>
              <w:top w:val="single" w:color="auto" w:sz="4" w:space="0"/>
              <w:left w:val="single" w:color="auto" w:sz="4" w:space="0"/>
              <w:bottom w:val="single" w:color="auto" w:sz="4" w:space="0"/>
              <w:right w:val="single" w:color="auto" w:sz="4" w:space="0"/>
            </w:tcBorders>
            <w:vAlign w:val="center"/>
          </w:tcPr>
          <w:p>
            <w:pPr>
              <w:numPr>
                <w:ilvl w:val="0"/>
                <w:numId w:val="4"/>
              </w:numPr>
              <w:overflowPunct w:val="0"/>
              <w:topLinePunct/>
              <w:spacing w:line="320" w:lineRule="exact"/>
              <w:rPr>
                <w:rFonts w:hint="eastAsia"/>
                <w:kern w:val="0"/>
                <w:sz w:val="20"/>
                <w:lang w:eastAsia="zh-CN"/>
              </w:rPr>
            </w:pPr>
            <w:r>
              <w:rPr>
                <w:rFonts w:hint="eastAsia"/>
                <w:kern w:val="0"/>
                <w:sz w:val="20"/>
              </w:rPr>
              <w:t>VOCs治理采用</w:t>
            </w:r>
            <w:r>
              <w:rPr>
                <w:rFonts w:hint="eastAsia"/>
                <w:kern w:val="0"/>
                <w:sz w:val="20"/>
                <w:lang w:eastAsia="zh-CN"/>
              </w:rPr>
              <w:t>吸附工艺、</w:t>
            </w:r>
            <w:r>
              <w:rPr>
                <w:rFonts w:hint="eastAsia"/>
                <w:kern w:val="0"/>
                <w:sz w:val="20"/>
              </w:rPr>
              <w:t>燃烧工艺（包括直接燃烧、催化燃烧和蓄热燃烧）</w:t>
            </w:r>
            <w:r>
              <w:rPr>
                <w:rFonts w:hint="eastAsia"/>
                <w:kern w:val="0"/>
                <w:sz w:val="20"/>
                <w:lang w:eastAsia="zh-CN"/>
              </w:rPr>
              <w:t>，</w:t>
            </w:r>
            <w:r>
              <w:rPr>
                <w:rFonts w:hint="eastAsia"/>
                <w:b w:val="0"/>
                <w:bCs w:val="0"/>
                <w:sz w:val="20"/>
                <w:szCs w:val="20"/>
                <w:lang w:val="en-US" w:eastAsia="zh-CN"/>
              </w:rPr>
              <w:t>采用颗粒状活性炭要求碘值不低于800 mg/g，采用蜂窝状活性炭要求碘值不低于650 mg/g，且预处理单元应配备温湿度仪及压差表</w:t>
            </w:r>
            <w:r>
              <w:rPr>
                <w:rFonts w:hint="eastAsia"/>
                <w:kern w:val="0"/>
                <w:sz w:val="20"/>
                <w:lang w:eastAsia="zh-CN"/>
              </w:rPr>
              <w:t>。</w:t>
            </w:r>
          </w:p>
          <w:p>
            <w:pPr>
              <w:numPr>
                <w:ilvl w:val="0"/>
                <w:numId w:val="4"/>
              </w:numPr>
              <w:overflowPunct w:val="0"/>
              <w:topLinePunct/>
              <w:spacing w:line="320" w:lineRule="exact"/>
              <w:rPr>
                <w:kern w:val="0"/>
                <w:sz w:val="20"/>
              </w:rPr>
            </w:pPr>
            <w:r>
              <w:rPr>
                <w:rFonts w:hint="eastAsia"/>
                <w:kern w:val="0"/>
                <w:sz w:val="20"/>
              </w:rPr>
              <w:t>除尘采用袋式除尘、滤筒除尘等技术。</w:t>
            </w:r>
          </w:p>
          <w:p>
            <w:pPr>
              <w:overflowPunct w:val="0"/>
              <w:topLinePunct/>
              <w:spacing w:line="320" w:lineRule="exact"/>
              <w:rPr>
                <w:kern w:val="0"/>
                <w:sz w:val="20"/>
              </w:rPr>
            </w:pPr>
            <w:r>
              <w:rPr>
                <w:rFonts w:hint="eastAsia"/>
                <w:kern w:val="0"/>
                <w:sz w:val="20"/>
              </w:rPr>
              <w:t>3、NO</w:t>
            </w:r>
            <w:r>
              <w:rPr>
                <w:rFonts w:hint="eastAsia"/>
                <w:i/>
                <w:iCs/>
                <w:kern w:val="0"/>
                <w:sz w:val="20"/>
                <w:vertAlign w:val="subscript"/>
              </w:rPr>
              <w:t>x</w:t>
            </w:r>
            <w:r>
              <w:rPr>
                <w:rFonts w:hint="eastAsia"/>
                <w:kern w:val="0"/>
                <w:sz w:val="20"/>
              </w:rPr>
              <w:t>采用低氮燃烧、SNCR/SCR等适宜技术。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00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无组织管控</w:t>
            </w:r>
          </w:p>
        </w:tc>
        <w:tc>
          <w:tcPr>
            <w:tcW w:w="3994"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rPr>
                <w:kern w:val="0"/>
                <w:sz w:val="20"/>
              </w:rPr>
            </w:pPr>
            <w:r>
              <w:rPr>
                <w:rFonts w:hint="eastAsia"/>
                <w:kern w:val="0"/>
                <w:sz w:val="20"/>
              </w:rPr>
              <w:t>1、VOCs物料储存于密闭的容器、包装袋、储罐、储库、料仓中；盛装VOCs物料的容器或包装袋存放于室内；盛装VOCs物料的容器或包装袋在非取用状态时应加盖、封口，保持密闭；储存真实蒸气压≥76.6kPa的挥发性有机液体储罐，应采用低压罐、压力罐或其他等效措施；储存真实蒸气压≥10.3kPa但＜76.6kPa且储罐容积≥20m</w:t>
            </w:r>
            <w:r>
              <w:rPr>
                <w:rFonts w:hint="eastAsia"/>
                <w:kern w:val="0"/>
                <w:sz w:val="20"/>
                <w:vertAlign w:val="superscript"/>
              </w:rPr>
              <w:t>3</w:t>
            </w:r>
            <w:r>
              <w:rPr>
                <w:rFonts w:hint="eastAsia"/>
                <w:kern w:val="0"/>
                <w:sz w:val="20"/>
              </w:rPr>
              <w:t>的挥发性有机液体储罐，以及储存真实蒸气压≥0.7kPa但＜10.3kPa且储罐容积≥30m</w:t>
            </w:r>
            <w:r>
              <w:rPr>
                <w:rFonts w:hint="eastAsia"/>
                <w:kern w:val="0"/>
                <w:sz w:val="20"/>
                <w:vertAlign w:val="superscript"/>
              </w:rPr>
              <w:t>3</w:t>
            </w:r>
            <w:r>
              <w:rPr>
                <w:rFonts w:hint="eastAsia"/>
                <w:kern w:val="0"/>
                <w:sz w:val="20"/>
              </w:rPr>
              <w:t>的挥发性有机液体储罐，采用高级密封方式的浮顶罐或采用固定顶罐密闭排气至VOCs治理设施。</w:t>
            </w:r>
          </w:p>
          <w:p>
            <w:pPr>
              <w:tabs>
                <w:tab w:val="left" w:pos="267"/>
              </w:tabs>
              <w:overflowPunct w:val="0"/>
              <w:topLinePunct/>
              <w:spacing w:line="320" w:lineRule="exact"/>
              <w:rPr>
                <w:kern w:val="0"/>
                <w:sz w:val="20"/>
              </w:rPr>
            </w:pPr>
            <w:r>
              <w:rPr>
                <w:rFonts w:hint="eastAsia"/>
                <w:kern w:val="0"/>
                <w:sz w:val="20"/>
              </w:rPr>
              <w:t>2、粉状物料采取气力输送、管状带式输送机、螺旋输送机等自动化、密闭输送方式；粒状物料采用封闭皮带等自动化、封闭输送方式；液态VOCs物料采用密闭管道输送。</w:t>
            </w:r>
          </w:p>
          <w:p>
            <w:pPr>
              <w:tabs>
                <w:tab w:val="left" w:pos="267"/>
              </w:tabs>
              <w:overflowPunct w:val="0"/>
              <w:topLinePunct/>
              <w:spacing w:line="320" w:lineRule="exact"/>
              <w:rPr>
                <w:kern w:val="0"/>
                <w:sz w:val="20"/>
              </w:rPr>
            </w:pPr>
            <w:r>
              <w:rPr>
                <w:rFonts w:hint="eastAsia"/>
                <w:kern w:val="0"/>
                <w:sz w:val="20"/>
              </w:rPr>
              <w:t>3、挤塑、注塑、滚塑、吹塑、压延、挤出、造粒、热定型、冷却、发泡、熟化、干燥等涉VOCs工序采用密闭设备或在密闭空间内操作，废气收集至VOCs废气处理设施；采用局部气体收集的，距</w:t>
            </w:r>
            <w:r>
              <w:rPr>
                <w:rFonts w:hint="eastAsia"/>
                <w:kern w:val="0"/>
                <w:sz w:val="20"/>
                <w:lang w:eastAsia="zh-CN"/>
              </w:rPr>
              <w:t>集气</w:t>
            </w:r>
            <w:r>
              <w:rPr>
                <w:rFonts w:hint="eastAsia"/>
                <w:kern w:val="0"/>
                <w:sz w:val="20"/>
              </w:rPr>
              <w:t>罩开口面最远处的VOCs无组织排放位置，控制风速不低于0.3m/s。</w:t>
            </w:r>
          </w:p>
          <w:p>
            <w:pPr>
              <w:overflowPunct w:val="0"/>
              <w:topLinePunct/>
              <w:spacing w:line="320" w:lineRule="exact"/>
              <w:rPr>
                <w:kern w:val="0"/>
                <w:sz w:val="20"/>
              </w:rPr>
            </w:pPr>
            <w:r>
              <w:rPr>
                <w:rFonts w:hint="eastAsia"/>
                <w:kern w:val="0"/>
                <w:sz w:val="20"/>
              </w:rPr>
              <w:t>4、废吸附剂应</w:t>
            </w:r>
            <w:r>
              <w:rPr>
                <w:rFonts w:hint="eastAsia"/>
                <w:kern w:val="0"/>
                <w:sz w:val="20"/>
                <w:lang w:eastAsia="zh-CN"/>
              </w:rPr>
              <w:t>按照危险废物管理要求</w:t>
            </w:r>
            <w:r>
              <w:rPr>
                <w:rFonts w:hint="eastAsia"/>
                <w:kern w:val="0"/>
                <w:sz w:val="20"/>
              </w:rPr>
              <w:t>采用密闭的包装袋或容器储存、转运，并建立储存、处置台账。</w:t>
            </w:r>
          </w:p>
          <w:p>
            <w:pPr>
              <w:overflowPunct w:val="0"/>
              <w:topLinePunct/>
              <w:spacing w:line="320" w:lineRule="exact"/>
              <w:rPr>
                <w:kern w:val="0"/>
                <w:sz w:val="20"/>
              </w:rPr>
            </w:pPr>
            <w:r>
              <w:rPr>
                <w:rFonts w:hint="eastAsia"/>
                <w:kern w:val="0"/>
                <w:sz w:val="20"/>
              </w:rPr>
              <w:t>5、按照《挥发性有机物无组织排放控制标准》（GB</w:t>
            </w:r>
            <w:r>
              <w:rPr>
                <w:rFonts w:hint="eastAsia"/>
                <w:kern w:val="0"/>
                <w:sz w:val="20"/>
                <w:lang w:val="en-US" w:eastAsia="zh-CN"/>
              </w:rPr>
              <w:t xml:space="preserve"> </w:t>
            </w:r>
            <w:r>
              <w:rPr>
                <w:rFonts w:hint="eastAsia"/>
                <w:kern w:val="0"/>
                <w:sz w:val="20"/>
              </w:rPr>
              <w:t>37822-2019）相关要求，开展泄漏检测与修复工作。受控密封点在1000个及以上的企业，建立LDAR管理平台。</w:t>
            </w:r>
          </w:p>
          <w:p>
            <w:pPr>
              <w:overflowPunct w:val="0"/>
              <w:topLinePunct/>
              <w:spacing w:line="320" w:lineRule="exact"/>
              <w:rPr>
                <w:kern w:val="0"/>
                <w:sz w:val="20"/>
              </w:rPr>
            </w:pPr>
            <w:r>
              <w:rPr>
                <w:rFonts w:hint="eastAsia"/>
                <w:kern w:val="0"/>
                <w:sz w:val="20"/>
              </w:rPr>
              <w:t>6、厂区道路硬化，并采取清扫、洒水等措施，保持整洁；车间内不得有可见粉尘外逸及明显异味。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00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排放限值</w:t>
            </w:r>
          </w:p>
        </w:tc>
        <w:tc>
          <w:tcPr>
            <w:tcW w:w="39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1、全厂有组织PM、非甲烷总烃（NMHC）排放浓度分别不高于10、10</w:t>
            </w:r>
            <w:r>
              <w:rPr>
                <w:rFonts w:hint="eastAsia"/>
                <w:kern w:val="0"/>
                <w:sz w:val="20"/>
                <w:lang w:val="en-US" w:eastAsia="zh-CN"/>
              </w:rPr>
              <w:t xml:space="preserve"> </w:t>
            </w:r>
            <w:r>
              <w:rPr>
                <w:rFonts w:hint="eastAsia"/>
                <w:kern w:val="0"/>
                <w:sz w:val="20"/>
              </w:rPr>
              <w:t>mg/m</w:t>
            </w:r>
            <w:r>
              <w:rPr>
                <w:rFonts w:hint="eastAsia"/>
                <w:kern w:val="0"/>
                <w:sz w:val="20"/>
                <w:vertAlign w:val="superscript"/>
              </w:rPr>
              <w:t>3</w:t>
            </w:r>
            <w:r>
              <w:rPr>
                <w:rFonts w:hint="eastAsia"/>
                <w:kern w:val="0"/>
                <w:sz w:val="20"/>
              </w:rPr>
              <w:t>。</w:t>
            </w:r>
          </w:p>
          <w:p>
            <w:pPr>
              <w:overflowPunct w:val="0"/>
              <w:topLinePunct/>
              <w:spacing w:line="320" w:lineRule="exact"/>
              <w:rPr>
                <w:rFonts w:hint="eastAsia"/>
                <w:kern w:val="0"/>
                <w:sz w:val="20"/>
                <w:lang w:eastAsia="zh-CN"/>
              </w:rPr>
            </w:pPr>
            <w:r>
              <w:rPr>
                <w:rFonts w:hint="eastAsia"/>
                <w:kern w:val="0"/>
                <w:sz w:val="20"/>
              </w:rPr>
              <w:t>2、VOCs治理设施同步运行率和去除率分别达到100%和80%</w:t>
            </w:r>
            <w:r>
              <w:rPr>
                <w:rFonts w:hint="eastAsia"/>
                <w:kern w:val="0"/>
                <w:sz w:val="20"/>
                <w:lang w:eastAsia="zh-CN"/>
              </w:rPr>
              <w:t>。</w:t>
            </w:r>
          </w:p>
          <w:p>
            <w:pPr>
              <w:overflowPunct w:val="0"/>
              <w:topLinePunct/>
              <w:spacing w:line="320" w:lineRule="exact"/>
              <w:rPr>
                <w:kern w:val="0"/>
                <w:sz w:val="20"/>
              </w:rPr>
            </w:pPr>
            <w:r>
              <w:rPr>
                <w:rFonts w:hint="eastAsia"/>
                <w:kern w:val="0"/>
                <w:sz w:val="20"/>
                <w:lang w:val="en-US" w:eastAsia="zh-CN"/>
              </w:rPr>
              <w:t>3、</w:t>
            </w:r>
            <w:r>
              <w:rPr>
                <w:rFonts w:hint="eastAsia"/>
                <w:kern w:val="0"/>
                <w:sz w:val="20"/>
              </w:rPr>
              <w:t>厂区内无组织排放监控点NMHC的1h平均浓度值不高于4mg/m</w:t>
            </w:r>
            <w:r>
              <w:rPr>
                <w:rFonts w:hint="eastAsia"/>
                <w:kern w:val="0"/>
                <w:sz w:val="20"/>
                <w:vertAlign w:val="superscript"/>
              </w:rPr>
              <w:t>3</w:t>
            </w:r>
            <w:r>
              <w:rPr>
                <w:rFonts w:hint="eastAsia"/>
                <w:kern w:val="0"/>
                <w:sz w:val="20"/>
              </w:rPr>
              <w:t>，厂界NMHC</w:t>
            </w:r>
            <w:r>
              <w:rPr>
                <w:rFonts w:hint="eastAsia"/>
                <w:kern w:val="0"/>
                <w:sz w:val="20"/>
                <w:lang w:val="en-US" w:eastAsia="zh-CN"/>
              </w:rPr>
              <w:t>的1h</w:t>
            </w:r>
            <w:r>
              <w:rPr>
                <w:rFonts w:hint="eastAsia"/>
                <w:kern w:val="0"/>
                <w:sz w:val="20"/>
              </w:rPr>
              <w:t>平均浓度不高于2mg/m</w:t>
            </w:r>
            <w:r>
              <w:rPr>
                <w:rFonts w:hint="eastAsia"/>
                <w:kern w:val="0"/>
                <w:sz w:val="20"/>
                <w:vertAlign w:val="superscript"/>
              </w:rPr>
              <w:t>3</w:t>
            </w: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00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监测监控水平</w:t>
            </w:r>
          </w:p>
        </w:tc>
        <w:tc>
          <w:tcPr>
            <w:tcW w:w="3994"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rPr>
                <w:kern w:val="0"/>
                <w:sz w:val="20"/>
              </w:rPr>
            </w:pPr>
            <w:r>
              <w:rPr>
                <w:rFonts w:hint="eastAsia"/>
                <w:kern w:val="0"/>
                <w:sz w:val="20"/>
              </w:rPr>
              <w:t>1、重点排污企业风量大于10000 m</w:t>
            </w:r>
            <w:r>
              <w:rPr>
                <w:rFonts w:hint="eastAsia"/>
                <w:kern w:val="0"/>
                <w:sz w:val="20"/>
                <w:vertAlign w:val="superscript"/>
              </w:rPr>
              <w:t>3</w:t>
            </w:r>
            <w:r>
              <w:rPr>
                <w:rFonts w:hint="eastAsia"/>
                <w:kern w:val="0"/>
                <w:sz w:val="20"/>
              </w:rPr>
              <w:t>/h的</w:t>
            </w:r>
            <w:r>
              <w:rPr>
                <w:rFonts w:hint="eastAsia"/>
                <w:kern w:val="0"/>
                <w:sz w:val="20"/>
                <w:lang w:val="en-US" w:eastAsia="zh-CN"/>
              </w:rPr>
              <w:t>有机废气</w:t>
            </w:r>
            <w:r>
              <w:rPr>
                <w:rFonts w:hint="eastAsia"/>
                <w:kern w:val="0"/>
                <w:sz w:val="20"/>
              </w:rPr>
              <w:t>主要</w:t>
            </w:r>
            <w:r>
              <w:rPr>
                <w:rFonts w:hint="eastAsia"/>
                <w:kern w:val="0"/>
                <w:sz w:val="20"/>
                <w:lang w:val="en-US" w:eastAsia="zh-CN"/>
              </w:rPr>
              <w:t>排放口</w:t>
            </w:r>
            <w:r>
              <w:rPr>
                <w:rFonts w:hint="eastAsia"/>
                <w:kern w:val="0"/>
                <w:sz w:val="20"/>
              </w:rPr>
              <w:t>安装NMHC</w:t>
            </w:r>
            <w:r>
              <w:rPr>
                <w:rFonts w:hint="eastAsia"/>
                <w:kern w:val="0"/>
                <w:sz w:val="20"/>
                <w:lang w:eastAsia="zh-CN"/>
              </w:rPr>
              <w:t>在线监控系统（</w:t>
            </w:r>
            <w:r>
              <w:rPr>
                <w:rFonts w:hint="eastAsia"/>
                <w:kern w:val="0"/>
                <w:sz w:val="20"/>
                <w:lang w:val="en-US" w:eastAsia="zh-CN"/>
              </w:rPr>
              <w:t>FID检测器</w:t>
            </w:r>
            <w:r>
              <w:rPr>
                <w:rFonts w:hint="eastAsia"/>
                <w:kern w:val="0"/>
                <w:sz w:val="20"/>
                <w:lang w:eastAsia="zh-CN"/>
              </w:rPr>
              <w:t>）</w:t>
            </w:r>
            <w:r>
              <w:rPr>
                <w:rFonts w:hint="eastAsia"/>
                <w:kern w:val="0"/>
                <w:sz w:val="20"/>
              </w:rPr>
              <w:t>，并与生态环境主管部门的监控设备联网，数据保存一年以上（投产或安装时间不满一年的企业，以现有数据为准）。</w:t>
            </w:r>
          </w:p>
          <w:p>
            <w:pPr>
              <w:tabs>
                <w:tab w:val="left" w:pos="267"/>
              </w:tabs>
              <w:overflowPunct w:val="0"/>
              <w:topLinePunct/>
              <w:spacing w:line="320" w:lineRule="exact"/>
              <w:rPr>
                <w:kern w:val="0"/>
                <w:sz w:val="20"/>
              </w:rPr>
            </w:pPr>
            <w:r>
              <w:rPr>
                <w:rFonts w:hint="eastAsia"/>
                <w:kern w:val="0"/>
                <w:sz w:val="20"/>
              </w:rPr>
              <w:t>2、按照排污许可证、行业自行监测指南或排污单位自行监测技术指南等相关要求开展自行监测。</w:t>
            </w:r>
          </w:p>
          <w:p>
            <w:pPr>
              <w:tabs>
                <w:tab w:val="left" w:pos="267"/>
              </w:tabs>
              <w:overflowPunct w:val="0"/>
              <w:topLinePunct/>
              <w:spacing w:line="320" w:lineRule="exact"/>
              <w:rPr>
                <w:kern w:val="0"/>
                <w:sz w:val="20"/>
              </w:rPr>
            </w:pPr>
            <w:r>
              <w:rPr>
                <w:rFonts w:hint="eastAsia"/>
                <w:kern w:val="0"/>
                <w:sz w:val="20"/>
              </w:rPr>
              <w:t>3、厂区货运进出口、</w:t>
            </w:r>
            <w:r>
              <w:rPr>
                <w:rFonts w:hint="eastAsia"/>
                <w:kern w:val="0"/>
                <w:sz w:val="20"/>
                <w:lang w:eastAsia="zh-CN"/>
              </w:rPr>
              <w:t>易产尘点</w:t>
            </w:r>
            <w:r>
              <w:rPr>
                <w:rFonts w:hint="eastAsia"/>
                <w:kern w:val="0"/>
                <w:sz w:val="20"/>
              </w:rPr>
              <w:t>安装高清视频监控设备，视频数据至少保存3个月。</w:t>
            </w:r>
          </w:p>
          <w:p>
            <w:pPr>
              <w:tabs>
                <w:tab w:val="left" w:pos="267"/>
              </w:tabs>
              <w:overflowPunct w:val="0"/>
              <w:topLinePunct/>
              <w:spacing w:line="320" w:lineRule="exact"/>
              <w:rPr>
                <w:kern w:val="0"/>
                <w:sz w:val="20"/>
              </w:rPr>
            </w:pPr>
            <w:r>
              <w:rPr>
                <w:rFonts w:hint="eastAsia"/>
                <w:kern w:val="0"/>
                <w:sz w:val="20"/>
                <w:lang w:val="en-US" w:eastAsia="zh-CN"/>
              </w:rPr>
              <w:t>4</w:t>
            </w:r>
            <w:r>
              <w:rPr>
                <w:rFonts w:hint="eastAsia"/>
                <w:kern w:val="0"/>
                <w:sz w:val="20"/>
              </w:rPr>
              <w:t>、企业主要环保设施及生产设施安装分布式控制系统（DCS）或可保存和查看历史数据的可编程控制系统（PLC），记录企业环保设施运行及相关生产过程主要参数，数据保存一年以上。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005"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环境管理水平</w:t>
            </w:r>
          </w:p>
        </w:tc>
        <w:tc>
          <w:tcPr>
            <w:tcW w:w="39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环保档案：1、环评批复文件和竣工环保验收文件或者环境现状评估备案证明；2、排污许可证或固定污染物源排污登记回执；3、环境管理制度（有组织、无组织排放长效管理机制，主要包括岗位责任制度、达标公示制度和定期巡查维护制度等）；4、废气治理设施运行管理规程；5、一年内废气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005"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p>
        </w:tc>
        <w:tc>
          <w:tcPr>
            <w:tcW w:w="3994"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rPr>
                <w:kern w:val="0"/>
                <w:sz w:val="20"/>
              </w:rPr>
            </w:pPr>
            <w:r>
              <w:rPr>
                <w:rFonts w:hint="eastAsia"/>
                <w:kern w:val="0"/>
                <w:sz w:val="20"/>
              </w:rPr>
              <w:t>台账记录：1、生产设施运行管理信息（生产时间、运行负荷、产品产量等）；2、废气污染治理设施运行管理信息；3、监测记录信息（主要污染排放口废气排放记录等）；4、主要原辅材料消耗记录；5、燃料消耗记录；6、一般固废、危废处理记录；7、运输车辆、厂内车辆、非道路移动机械电子台账（进出场时间、车辆或非道路移动机械信息、运送货物名称及运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005"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p>
        </w:tc>
        <w:tc>
          <w:tcPr>
            <w:tcW w:w="39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人员配置：配备专职环保人员，并具备相应的环境管理能力（学历、培训、从业经验等）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00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运输方式</w:t>
            </w:r>
          </w:p>
        </w:tc>
        <w:tc>
          <w:tcPr>
            <w:tcW w:w="3994"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ind w:left="0"/>
              <w:rPr>
                <w:kern w:val="0"/>
                <w:sz w:val="20"/>
              </w:rPr>
            </w:pPr>
            <w:r>
              <w:rPr>
                <w:rFonts w:hint="eastAsia"/>
                <w:kern w:val="0"/>
                <w:sz w:val="20"/>
              </w:rPr>
              <w:t>1、物料、产品公路运输全部使用国五及以上排放标准重型载货车辆（含燃气）或新能源车辆等清洁运输方式。</w:t>
            </w:r>
          </w:p>
          <w:p>
            <w:pPr>
              <w:tabs>
                <w:tab w:val="left" w:pos="267"/>
              </w:tabs>
              <w:overflowPunct w:val="0"/>
              <w:topLinePunct/>
              <w:spacing w:line="320" w:lineRule="exact"/>
              <w:ind w:left="0"/>
              <w:rPr>
                <w:kern w:val="0"/>
                <w:sz w:val="20"/>
              </w:rPr>
            </w:pPr>
            <w:r>
              <w:rPr>
                <w:rFonts w:hint="eastAsia"/>
                <w:kern w:val="0"/>
                <w:sz w:val="20"/>
              </w:rPr>
              <w:t>2、厂内运输车辆全部达到国五及以上排放标准（含燃气）或使用新能源车辆。</w:t>
            </w:r>
          </w:p>
          <w:p>
            <w:pPr>
              <w:tabs>
                <w:tab w:val="left" w:pos="267"/>
              </w:tabs>
              <w:overflowPunct w:val="0"/>
              <w:topLinePunct/>
              <w:spacing w:line="320" w:lineRule="exact"/>
              <w:ind w:left="0"/>
              <w:rPr>
                <w:kern w:val="0"/>
                <w:sz w:val="20"/>
              </w:rPr>
            </w:pPr>
            <w:r>
              <w:rPr>
                <w:rFonts w:hint="eastAsia"/>
                <w:kern w:val="0"/>
                <w:sz w:val="20"/>
              </w:rPr>
              <w:t>3、厂内非道路移动机械全部达到国三及以上排放标准或使用新能源机械。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00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运输监管</w:t>
            </w:r>
          </w:p>
        </w:tc>
        <w:tc>
          <w:tcPr>
            <w:tcW w:w="3994"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ind w:left="-53"/>
              <w:rPr>
                <w:kern w:val="0"/>
                <w:sz w:val="20"/>
              </w:rPr>
            </w:pPr>
            <w:r>
              <w:rPr>
                <w:rFonts w:hint="eastAsia"/>
                <w:kern w:val="0"/>
                <w:sz w:val="20"/>
                <w:lang w:eastAsia="zh-CN"/>
              </w:rPr>
              <w:t>建立门禁系统和电子台账，创建要求参照《重点行业移动源监管与核查技术指南》（</w:t>
            </w:r>
            <w:r>
              <w:rPr>
                <w:rFonts w:hint="eastAsia"/>
                <w:kern w:val="0"/>
                <w:sz w:val="20"/>
                <w:lang w:val="en-US" w:eastAsia="zh-CN"/>
              </w:rPr>
              <w:t>HJ 1321</w:t>
            </w:r>
            <w:r>
              <w:rPr>
                <w:rFonts w:hint="eastAsia"/>
                <w:kern w:val="0"/>
                <w:sz w:val="20"/>
                <w:lang w:eastAsia="zh-CN"/>
              </w:rPr>
              <w:t>）</w:t>
            </w:r>
            <w:r>
              <w:rPr>
                <w:rFonts w:hint="eastAsia"/>
                <w:kern w:val="0"/>
                <w:sz w:val="20"/>
              </w:rPr>
              <w:t>。</w:t>
            </w:r>
          </w:p>
        </w:tc>
      </w:tr>
    </w:tbl>
    <w:p>
      <w:pPr>
        <w:overflowPunct w:val="0"/>
        <w:topLinePunct/>
        <w:spacing w:after="120" w:line="360" w:lineRule="auto"/>
        <w:rPr>
          <w:rFonts w:eastAsia="宋体"/>
          <w:sz w:val="4"/>
          <w:szCs w:val="22"/>
        </w:rPr>
      </w:pPr>
    </w:p>
    <w:p>
      <w:pPr>
        <w:overflowPunct w:val="0"/>
        <w:topLinePunct/>
        <w:spacing w:line="360" w:lineRule="auto"/>
        <w:rPr>
          <w:rFonts w:eastAsia="楷体_GB2312"/>
          <w:sz w:val="30"/>
          <w:szCs w:val="30"/>
        </w:rPr>
      </w:pPr>
    </w:p>
    <w:p>
      <w:pPr>
        <w:overflowPunct w:val="0"/>
        <w:topLinePunct/>
        <w:spacing w:line="360" w:lineRule="auto"/>
        <w:rPr>
          <w:rFonts w:eastAsia="楷体_GB2312"/>
          <w:sz w:val="30"/>
          <w:szCs w:val="30"/>
        </w:rPr>
        <w:sectPr>
          <w:headerReference r:id="rId31" w:type="default"/>
          <w:footerReference r:id="rId33" w:type="default"/>
          <w:headerReference r:id="rId32" w:type="even"/>
          <w:footerReference r:id="rId34" w:type="even"/>
          <w:pgSz w:w="16840" w:h="11910" w:orient="landscape"/>
          <w:pgMar w:top="1588" w:right="2098" w:bottom="1474" w:left="1247" w:header="851" w:footer="992" w:gutter="0"/>
          <w:cols w:space="720" w:num="1"/>
          <w:docGrid w:linePitch="286" w:charSpace="0"/>
        </w:sectPr>
      </w:pPr>
    </w:p>
    <w:p>
      <w:pPr>
        <w:overflowPunct w:val="0"/>
        <w:topLinePunct/>
        <w:spacing w:line="500" w:lineRule="exact"/>
        <w:ind w:firstLine="576" w:firstLineChars="200"/>
        <w:outlineLvl w:val="2"/>
        <w:rPr>
          <w:rFonts w:eastAsia="楷体_GB2312"/>
          <w:kern w:val="0"/>
          <w:sz w:val="30"/>
          <w:szCs w:val="30"/>
        </w:rPr>
      </w:pPr>
      <w:bookmarkStart w:id="51" w:name="_Toc121413344"/>
      <w:bookmarkStart w:id="52" w:name="_Toc17061"/>
      <w:r>
        <w:rPr>
          <w:rFonts w:eastAsia="楷体_GB2312"/>
          <w:kern w:val="0"/>
          <w:sz w:val="30"/>
          <w:szCs w:val="30"/>
        </w:rPr>
        <w:t>（五）减排措施</w:t>
      </w:r>
      <w:bookmarkEnd w:id="51"/>
      <w:bookmarkEnd w:id="52"/>
    </w:p>
    <w:p>
      <w:pPr>
        <w:overflowPunct w:val="0"/>
        <w:topLinePunct/>
        <w:spacing w:line="500" w:lineRule="exact"/>
        <w:ind w:firstLine="576" w:firstLineChars="200"/>
        <w:rPr>
          <w:sz w:val="30"/>
          <w:szCs w:val="30"/>
        </w:rPr>
      </w:pPr>
      <w:r>
        <w:rPr>
          <w:sz w:val="30"/>
          <w:szCs w:val="30"/>
        </w:rPr>
        <w:t>1、引领性企业</w:t>
      </w:r>
    </w:p>
    <w:p>
      <w:pPr>
        <w:overflowPunct w:val="0"/>
        <w:topLinePunct/>
        <w:spacing w:line="500" w:lineRule="exact"/>
        <w:ind w:firstLine="576" w:firstLineChars="200"/>
        <w:rPr>
          <w:sz w:val="30"/>
          <w:szCs w:val="30"/>
        </w:rPr>
      </w:pPr>
      <w:r>
        <w:rPr>
          <w:rFonts w:hint="eastAsia"/>
          <w:sz w:val="30"/>
          <w:szCs w:val="30"/>
        </w:rPr>
        <w:t>鼓励结合实际，自主采取减排措施。</w:t>
      </w:r>
    </w:p>
    <w:p>
      <w:pPr>
        <w:overflowPunct w:val="0"/>
        <w:topLinePunct/>
        <w:spacing w:line="500" w:lineRule="exact"/>
        <w:ind w:firstLine="576" w:firstLineChars="200"/>
        <w:rPr>
          <w:sz w:val="30"/>
          <w:szCs w:val="30"/>
        </w:rPr>
      </w:pPr>
      <w:r>
        <w:rPr>
          <w:sz w:val="30"/>
          <w:szCs w:val="30"/>
        </w:rPr>
        <w:t>2、非引领性企业</w:t>
      </w:r>
    </w:p>
    <w:p>
      <w:pPr>
        <w:overflowPunct w:val="0"/>
        <w:topLinePunct/>
        <w:spacing w:line="500" w:lineRule="exact"/>
        <w:ind w:firstLine="576" w:firstLineChars="200"/>
        <w:rPr>
          <w:rFonts w:eastAsia="宋体"/>
          <w:sz w:val="28"/>
          <w:szCs w:val="28"/>
        </w:rPr>
      </w:pPr>
      <w:r>
        <w:rPr>
          <w:sz w:val="30"/>
          <w:szCs w:val="30"/>
        </w:rPr>
        <w:t>黄色及以上预警期间：涉气工序停产；停止使用国四及以下重型载货车辆（含燃气）进行物料运输。</w:t>
      </w:r>
    </w:p>
    <w:p>
      <w:pPr>
        <w:overflowPunct w:val="0"/>
        <w:topLinePunct/>
        <w:spacing w:line="500" w:lineRule="exact"/>
        <w:ind w:firstLine="576" w:firstLineChars="200"/>
        <w:outlineLvl w:val="2"/>
        <w:rPr>
          <w:rFonts w:hint="default" w:eastAsia="楷体_GB2312"/>
          <w:kern w:val="0"/>
          <w:sz w:val="30"/>
          <w:szCs w:val="30"/>
          <w:lang w:val="en-US" w:eastAsia="zh-CN"/>
        </w:rPr>
      </w:pPr>
      <w:bookmarkStart w:id="53" w:name="_Toc7016"/>
      <w:bookmarkStart w:id="54" w:name="_Toc121413345"/>
      <w:r>
        <w:rPr>
          <w:rFonts w:eastAsia="楷体_GB2312"/>
          <w:kern w:val="0"/>
          <w:sz w:val="30"/>
          <w:szCs w:val="30"/>
        </w:rPr>
        <w:t>（六）核查方法</w:t>
      </w:r>
      <w:bookmarkEnd w:id="53"/>
      <w:bookmarkEnd w:id="54"/>
    </w:p>
    <w:p>
      <w:pPr>
        <w:overflowPunct w:val="0"/>
        <w:topLinePunct/>
        <w:spacing w:line="500" w:lineRule="exact"/>
        <w:ind w:firstLine="576" w:firstLineChars="200"/>
        <w:rPr>
          <w:sz w:val="30"/>
          <w:szCs w:val="30"/>
        </w:rPr>
      </w:pPr>
      <w:r>
        <w:rPr>
          <w:sz w:val="30"/>
          <w:szCs w:val="30"/>
        </w:rPr>
        <w:t>1、电量分析：调取企业用电量情况，</w:t>
      </w:r>
      <w:r>
        <w:rPr>
          <w:rFonts w:hint="eastAsia"/>
          <w:sz w:val="30"/>
          <w:szCs w:val="30"/>
          <w:lang w:eastAsia="zh-CN"/>
        </w:rPr>
        <w:t>分析历史预警前后</w:t>
      </w:r>
      <w:r>
        <w:rPr>
          <w:sz w:val="30"/>
          <w:szCs w:val="30"/>
        </w:rPr>
        <w:t>企业用电量变化，比对采取减排措施期间的用电量</w:t>
      </w:r>
      <w:r>
        <w:rPr>
          <w:spacing w:val="0"/>
          <w:sz w:val="30"/>
          <w:szCs w:val="30"/>
        </w:rPr>
        <w:t>是否</w:t>
      </w:r>
      <w:r>
        <w:rPr>
          <w:rFonts w:hint="eastAsia"/>
          <w:spacing w:val="0"/>
          <w:sz w:val="30"/>
          <w:szCs w:val="30"/>
        </w:rPr>
        <w:t>明显下降</w:t>
      </w:r>
      <w:r>
        <w:rPr>
          <w:sz w:val="30"/>
          <w:szCs w:val="30"/>
        </w:rPr>
        <w:t>。</w:t>
      </w:r>
    </w:p>
    <w:p>
      <w:pPr>
        <w:overflowPunct w:val="0"/>
        <w:topLinePunct/>
        <w:spacing w:line="500" w:lineRule="exact"/>
        <w:ind w:firstLine="576" w:firstLineChars="200"/>
        <w:rPr>
          <w:sz w:val="30"/>
          <w:szCs w:val="30"/>
        </w:rPr>
      </w:pPr>
      <w:r>
        <w:rPr>
          <w:sz w:val="30"/>
          <w:szCs w:val="30"/>
        </w:rPr>
        <w:t>2、现场核查：投料、挤塑、注塑、滚塑、吹塑、压延、挤出、造粒、热定型、冷却、发泡、熟化、干燥等涉VOCs工序设施的停产情况。</w:t>
      </w:r>
    </w:p>
    <w:p>
      <w:pPr>
        <w:overflowPunct w:val="0"/>
        <w:topLinePunct/>
        <w:spacing w:line="500" w:lineRule="exact"/>
        <w:ind w:firstLine="576" w:firstLineChars="200"/>
        <w:rPr>
          <w:sz w:val="30"/>
          <w:szCs w:val="30"/>
        </w:rPr>
      </w:pPr>
      <w:r>
        <w:rPr>
          <w:sz w:val="30"/>
          <w:szCs w:val="30"/>
        </w:rPr>
        <w:t>3、台账核查：重点核查主要生产设施开停机记录表；核查主要原辅材料消耗记录。</w:t>
      </w:r>
    </w:p>
    <w:p>
      <w:pPr>
        <w:overflowPunct w:val="0"/>
        <w:topLinePunct/>
        <w:spacing w:line="500" w:lineRule="exact"/>
        <w:ind w:firstLine="576" w:firstLineChars="200"/>
        <w:rPr>
          <w:sz w:val="30"/>
          <w:szCs w:val="30"/>
        </w:rPr>
      </w:pPr>
      <w:r>
        <w:rPr>
          <w:sz w:val="30"/>
          <w:szCs w:val="30"/>
        </w:rPr>
        <w:t>4、运输核查：</w:t>
      </w:r>
      <w:r>
        <w:rPr>
          <w:spacing w:val="0"/>
          <w:sz w:val="30"/>
          <w:szCs w:val="30"/>
        </w:rPr>
        <w:t>调取厂区</w:t>
      </w:r>
      <w:r>
        <w:rPr>
          <w:sz w:val="30"/>
          <w:szCs w:val="30"/>
        </w:rPr>
        <w:t>货运进出口视频监控</w:t>
      </w:r>
      <w:r>
        <w:rPr>
          <w:spacing w:val="0"/>
          <w:sz w:val="30"/>
          <w:szCs w:val="30"/>
        </w:rPr>
        <w:t>记录，比对预警前后厂区</w:t>
      </w:r>
      <w:r>
        <w:rPr>
          <w:rFonts w:hint="eastAsia"/>
          <w:spacing w:val="0"/>
          <w:sz w:val="30"/>
          <w:szCs w:val="30"/>
          <w:lang w:eastAsia="zh-CN"/>
        </w:rPr>
        <w:t>汽车运输情况，检查</w:t>
      </w:r>
      <w:r>
        <w:rPr>
          <w:spacing w:val="0"/>
          <w:sz w:val="30"/>
          <w:szCs w:val="30"/>
        </w:rPr>
        <w:t>是否符合要求；现场抽查</w:t>
      </w:r>
      <w:r>
        <w:rPr>
          <w:rFonts w:hint="eastAsia"/>
          <w:spacing w:val="0"/>
          <w:sz w:val="30"/>
          <w:szCs w:val="30"/>
          <w:lang w:eastAsia="zh-CN"/>
        </w:rPr>
        <w:t>运输</w:t>
      </w:r>
      <w:r>
        <w:rPr>
          <w:spacing w:val="0"/>
          <w:sz w:val="30"/>
          <w:szCs w:val="30"/>
        </w:rPr>
        <w:t>车辆</w:t>
      </w:r>
      <w:r>
        <w:rPr>
          <w:rFonts w:hint="eastAsia"/>
          <w:spacing w:val="0"/>
          <w:sz w:val="30"/>
          <w:szCs w:val="30"/>
          <w:lang w:eastAsia="zh-CN"/>
        </w:rPr>
        <w:t>，</w:t>
      </w:r>
      <w:r>
        <w:rPr>
          <w:spacing w:val="0"/>
          <w:sz w:val="30"/>
          <w:szCs w:val="30"/>
        </w:rPr>
        <w:t>核查排放</w:t>
      </w:r>
      <w:r>
        <w:rPr>
          <w:rFonts w:hint="eastAsia"/>
          <w:spacing w:val="0"/>
          <w:sz w:val="30"/>
          <w:szCs w:val="30"/>
          <w:lang w:eastAsia="zh-CN"/>
        </w:rPr>
        <w:t>标准</w:t>
      </w:r>
      <w:r>
        <w:rPr>
          <w:spacing w:val="0"/>
          <w:sz w:val="30"/>
          <w:szCs w:val="30"/>
        </w:rPr>
        <w:t>是否符合要求。</w:t>
      </w:r>
    </w:p>
    <w:p>
      <w:pPr>
        <w:overflowPunct w:val="0"/>
        <w:topLinePunct/>
        <w:spacing w:line="460" w:lineRule="exact"/>
        <w:ind w:firstLine="576" w:firstLineChars="200"/>
        <w:outlineLvl w:val="1"/>
        <w:rPr>
          <w:rFonts w:eastAsia="黑体"/>
          <w:kern w:val="0"/>
          <w:sz w:val="30"/>
          <w:szCs w:val="30"/>
        </w:rPr>
      </w:pPr>
      <w:bookmarkStart w:id="55" w:name="_Toc29354"/>
      <w:bookmarkStart w:id="56" w:name="_Toc121413346"/>
      <w:r>
        <w:rPr>
          <w:rFonts w:eastAsia="黑体"/>
          <w:kern w:val="0"/>
          <w:sz w:val="30"/>
          <w:szCs w:val="30"/>
        </w:rPr>
        <w:t>五、纸浆制造与造纸行业</w:t>
      </w:r>
      <w:bookmarkEnd w:id="55"/>
      <w:bookmarkEnd w:id="56"/>
    </w:p>
    <w:p>
      <w:pPr>
        <w:overflowPunct w:val="0"/>
        <w:topLinePunct/>
        <w:spacing w:line="500" w:lineRule="exact"/>
        <w:ind w:firstLine="576" w:firstLineChars="200"/>
        <w:outlineLvl w:val="2"/>
        <w:rPr>
          <w:rFonts w:eastAsia="楷体_GB2312"/>
          <w:kern w:val="0"/>
          <w:sz w:val="30"/>
          <w:szCs w:val="30"/>
        </w:rPr>
      </w:pPr>
      <w:bookmarkStart w:id="57" w:name="_Toc29429"/>
      <w:bookmarkStart w:id="58" w:name="_Toc121413347"/>
      <w:r>
        <w:rPr>
          <w:rFonts w:eastAsia="楷体_GB2312"/>
          <w:kern w:val="0"/>
          <w:sz w:val="30"/>
          <w:szCs w:val="30"/>
        </w:rPr>
        <w:t>（一）适用范围</w:t>
      </w:r>
      <w:bookmarkEnd w:id="57"/>
      <w:bookmarkEnd w:id="58"/>
    </w:p>
    <w:p>
      <w:pPr>
        <w:overflowPunct w:val="0"/>
        <w:topLinePunct/>
        <w:spacing w:line="500" w:lineRule="exact"/>
        <w:ind w:firstLine="600" w:firstLineChars="200"/>
        <w:rPr>
          <w:spacing w:val="0"/>
          <w:sz w:val="28"/>
          <w:szCs w:val="28"/>
        </w:rPr>
      </w:pPr>
      <w:r>
        <w:rPr>
          <w:rFonts w:hint="eastAsia"/>
          <w:spacing w:val="0"/>
          <w:sz w:val="30"/>
          <w:szCs w:val="30"/>
        </w:rPr>
        <w:t>适用于《国民经济行业分类》（GB/T4754-2017）中的</w:t>
      </w:r>
      <w:r>
        <w:rPr>
          <w:spacing w:val="0"/>
          <w:sz w:val="30"/>
          <w:szCs w:val="30"/>
        </w:rPr>
        <w:t>C22纸浆制造与造纸业，包括C221纸浆制造、C222造纸和C223中涉及锅炉的企业。</w:t>
      </w:r>
    </w:p>
    <w:p>
      <w:pPr>
        <w:overflowPunct w:val="0"/>
        <w:topLinePunct/>
        <w:spacing w:line="500" w:lineRule="exact"/>
        <w:ind w:firstLine="576" w:firstLineChars="200"/>
        <w:outlineLvl w:val="2"/>
        <w:rPr>
          <w:rFonts w:eastAsia="楷体_GB2312"/>
          <w:kern w:val="0"/>
          <w:sz w:val="30"/>
          <w:szCs w:val="30"/>
        </w:rPr>
      </w:pPr>
      <w:bookmarkStart w:id="59" w:name="_Toc8150"/>
      <w:bookmarkStart w:id="60" w:name="_Toc121413348"/>
      <w:r>
        <w:rPr>
          <w:rFonts w:eastAsia="楷体_GB2312"/>
          <w:kern w:val="0"/>
          <w:sz w:val="30"/>
          <w:szCs w:val="30"/>
        </w:rPr>
        <w:t>（二）生产工艺</w:t>
      </w:r>
      <w:bookmarkEnd w:id="59"/>
      <w:bookmarkEnd w:id="60"/>
    </w:p>
    <w:p>
      <w:pPr>
        <w:overflowPunct w:val="0"/>
        <w:topLinePunct/>
        <w:spacing w:line="500" w:lineRule="exact"/>
        <w:ind w:firstLine="600" w:firstLineChars="200"/>
        <w:rPr>
          <w:spacing w:val="0"/>
          <w:sz w:val="28"/>
          <w:szCs w:val="28"/>
        </w:rPr>
      </w:pPr>
      <w:r>
        <w:rPr>
          <w:spacing w:val="0"/>
          <w:sz w:val="30"/>
          <w:szCs w:val="30"/>
        </w:rPr>
        <w:t>主要有备料、制浆、造纸，公用单元主要有化学品制备、碱回收、储存系统、锅炉、辅助系统等。</w:t>
      </w:r>
    </w:p>
    <w:p>
      <w:pPr>
        <w:overflowPunct w:val="0"/>
        <w:topLinePunct/>
        <w:spacing w:line="360" w:lineRule="auto"/>
        <w:jc w:val="center"/>
        <w:rPr>
          <w:spacing w:val="0"/>
          <w:sz w:val="28"/>
          <w:szCs w:val="28"/>
        </w:rPr>
      </w:pPr>
      <w:r>
        <w:rPr>
          <w:rFonts w:eastAsia="等线"/>
          <w:spacing w:val="0"/>
          <w:sz w:val="21"/>
          <w:szCs w:val="22"/>
        </w:rPr>
        <w:drawing>
          <wp:inline distT="0" distB="0" distL="114300" distR="114300">
            <wp:extent cx="5278755" cy="1621155"/>
            <wp:effectExtent l="0" t="0" r="4445" b="444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preferRelativeResize="false">
                      <a:picLocks noChangeAspect="true"/>
                    </pic:cNvPicPr>
                  </pic:nvPicPr>
                  <pic:blipFill>
                    <a:blip r:embed="rId89"/>
                    <a:stretch>
                      <a:fillRect/>
                    </a:stretch>
                  </pic:blipFill>
                  <pic:spPr>
                    <a:xfrm>
                      <a:off x="0" y="0"/>
                      <a:ext cx="5278755" cy="1621155"/>
                    </a:xfrm>
                    <a:prstGeom prst="rect">
                      <a:avLst/>
                    </a:prstGeom>
                    <a:noFill/>
                    <a:ln>
                      <a:noFill/>
                    </a:ln>
                  </pic:spPr>
                </pic:pic>
              </a:graphicData>
            </a:graphic>
          </wp:inline>
        </w:drawing>
      </w:r>
    </w:p>
    <w:p>
      <w:pPr>
        <w:overflowPunct w:val="0"/>
        <w:topLinePunct/>
        <w:spacing w:line="360" w:lineRule="auto"/>
        <w:jc w:val="center"/>
        <w:rPr>
          <w:rFonts w:eastAsia="黑体"/>
          <w:spacing w:val="0"/>
          <w:sz w:val="21"/>
          <w:szCs w:val="21"/>
        </w:rPr>
      </w:pPr>
      <w:r>
        <w:rPr>
          <w:rFonts w:eastAsia="黑体"/>
          <w:spacing w:val="0"/>
          <w:sz w:val="21"/>
          <w:szCs w:val="21"/>
        </w:rPr>
        <w:t>图5-1  典型硫酸盐法化学木（竹）制浆工艺流程图</w:t>
      </w:r>
    </w:p>
    <w:p>
      <w:pPr>
        <w:overflowPunct w:val="0"/>
        <w:topLinePunct/>
        <w:spacing w:line="360" w:lineRule="auto"/>
        <w:jc w:val="center"/>
        <w:rPr>
          <w:rFonts w:eastAsia="黑体"/>
          <w:spacing w:val="0"/>
          <w:sz w:val="21"/>
          <w:szCs w:val="21"/>
        </w:rPr>
      </w:pPr>
      <w:r>
        <w:rPr>
          <w:rFonts w:eastAsia="等线"/>
          <w:spacing w:val="0"/>
          <w:sz w:val="21"/>
          <w:szCs w:val="22"/>
        </w:rPr>
        <w:drawing>
          <wp:inline distT="0" distB="0" distL="114300" distR="114300">
            <wp:extent cx="5278755" cy="1791335"/>
            <wp:effectExtent l="0" t="0" r="4445" b="12065"/>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preferRelativeResize="false">
                      <a:picLocks noChangeAspect="true"/>
                    </pic:cNvPicPr>
                  </pic:nvPicPr>
                  <pic:blipFill>
                    <a:blip r:embed="rId90"/>
                    <a:stretch>
                      <a:fillRect/>
                    </a:stretch>
                  </pic:blipFill>
                  <pic:spPr>
                    <a:xfrm>
                      <a:off x="0" y="0"/>
                      <a:ext cx="5278755" cy="1791335"/>
                    </a:xfrm>
                    <a:prstGeom prst="rect">
                      <a:avLst/>
                    </a:prstGeom>
                    <a:noFill/>
                    <a:ln>
                      <a:noFill/>
                    </a:ln>
                  </pic:spPr>
                </pic:pic>
              </a:graphicData>
            </a:graphic>
          </wp:inline>
        </w:drawing>
      </w:r>
    </w:p>
    <w:p>
      <w:pPr>
        <w:overflowPunct w:val="0"/>
        <w:topLinePunct/>
        <w:spacing w:line="360" w:lineRule="auto"/>
        <w:jc w:val="center"/>
        <w:rPr>
          <w:rFonts w:eastAsia="黑体"/>
          <w:spacing w:val="0"/>
          <w:sz w:val="21"/>
          <w:szCs w:val="21"/>
        </w:rPr>
      </w:pPr>
      <w:r>
        <w:rPr>
          <w:rFonts w:eastAsia="黑体"/>
          <w:spacing w:val="0"/>
          <w:sz w:val="21"/>
          <w:szCs w:val="21"/>
        </w:rPr>
        <w:t xml:space="preserve">图5-2  </w:t>
      </w:r>
      <w:r>
        <w:rPr>
          <w:rFonts w:hint="eastAsia" w:eastAsia="黑体"/>
          <w:spacing w:val="0"/>
          <w:sz w:val="21"/>
          <w:szCs w:val="21"/>
        </w:rPr>
        <w:t>典型碱法（碱法亚硫酸盐）化学机械浆工艺流程图</w:t>
      </w:r>
    </w:p>
    <w:p>
      <w:pPr>
        <w:overflowPunct w:val="0"/>
        <w:topLinePunct/>
        <w:spacing w:line="360" w:lineRule="auto"/>
        <w:jc w:val="center"/>
        <w:rPr>
          <w:rFonts w:eastAsia="黑体"/>
          <w:spacing w:val="0"/>
          <w:sz w:val="21"/>
          <w:szCs w:val="21"/>
        </w:rPr>
      </w:pPr>
      <w:r>
        <w:rPr>
          <w:rFonts w:eastAsia="等线"/>
          <w:spacing w:val="0"/>
          <w:sz w:val="21"/>
          <w:szCs w:val="22"/>
        </w:rPr>
        <w:drawing>
          <wp:inline distT="0" distB="0" distL="114300" distR="114300">
            <wp:extent cx="5278755" cy="1235075"/>
            <wp:effectExtent l="0" t="0" r="4445" b="9525"/>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preferRelativeResize="false">
                      <a:picLocks noChangeAspect="true"/>
                    </pic:cNvPicPr>
                  </pic:nvPicPr>
                  <pic:blipFill>
                    <a:blip r:embed="rId91"/>
                    <a:stretch>
                      <a:fillRect/>
                    </a:stretch>
                  </pic:blipFill>
                  <pic:spPr>
                    <a:xfrm>
                      <a:off x="0" y="0"/>
                      <a:ext cx="5278755" cy="1235075"/>
                    </a:xfrm>
                    <a:prstGeom prst="rect">
                      <a:avLst/>
                    </a:prstGeom>
                    <a:noFill/>
                    <a:ln>
                      <a:noFill/>
                    </a:ln>
                  </pic:spPr>
                </pic:pic>
              </a:graphicData>
            </a:graphic>
          </wp:inline>
        </w:drawing>
      </w:r>
    </w:p>
    <w:p>
      <w:pPr>
        <w:overflowPunct w:val="0"/>
        <w:topLinePunct/>
        <w:spacing w:line="360" w:lineRule="auto"/>
        <w:jc w:val="center"/>
        <w:rPr>
          <w:rFonts w:eastAsia="黑体"/>
          <w:spacing w:val="0"/>
          <w:sz w:val="21"/>
          <w:szCs w:val="21"/>
        </w:rPr>
      </w:pPr>
      <w:r>
        <w:rPr>
          <w:rFonts w:eastAsia="黑体"/>
          <w:spacing w:val="0"/>
          <w:sz w:val="21"/>
          <w:szCs w:val="21"/>
        </w:rPr>
        <w:t>图5-3  典型化学机械法制浆工艺流程图</w:t>
      </w:r>
    </w:p>
    <w:p>
      <w:pPr>
        <w:overflowPunct w:val="0"/>
        <w:topLinePunct/>
        <w:spacing w:line="360" w:lineRule="auto"/>
        <w:jc w:val="center"/>
        <w:rPr>
          <w:rFonts w:eastAsia="黑体"/>
          <w:spacing w:val="0"/>
          <w:sz w:val="21"/>
          <w:szCs w:val="21"/>
        </w:rPr>
      </w:pPr>
      <w:r>
        <w:rPr>
          <w:rFonts w:eastAsia="等线"/>
          <w:spacing w:val="0"/>
          <w:sz w:val="21"/>
          <w:szCs w:val="22"/>
        </w:rPr>
        <w:drawing>
          <wp:inline distT="0" distB="0" distL="114300" distR="114300">
            <wp:extent cx="5278755" cy="1885315"/>
            <wp:effectExtent l="0" t="0" r="4445" b="6985"/>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preferRelativeResize="false">
                      <a:picLocks noChangeAspect="true"/>
                    </pic:cNvPicPr>
                  </pic:nvPicPr>
                  <pic:blipFill>
                    <a:blip r:embed="rId92"/>
                    <a:stretch>
                      <a:fillRect/>
                    </a:stretch>
                  </pic:blipFill>
                  <pic:spPr>
                    <a:xfrm>
                      <a:off x="0" y="0"/>
                      <a:ext cx="5278755" cy="1885315"/>
                    </a:xfrm>
                    <a:prstGeom prst="rect">
                      <a:avLst/>
                    </a:prstGeom>
                    <a:noFill/>
                    <a:ln>
                      <a:noFill/>
                    </a:ln>
                  </pic:spPr>
                </pic:pic>
              </a:graphicData>
            </a:graphic>
          </wp:inline>
        </w:drawing>
      </w:r>
    </w:p>
    <w:p>
      <w:pPr>
        <w:overflowPunct w:val="0"/>
        <w:topLinePunct/>
        <w:spacing w:line="360" w:lineRule="auto"/>
        <w:jc w:val="center"/>
        <w:rPr>
          <w:rFonts w:eastAsia="黑体"/>
          <w:spacing w:val="0"/>
          <w:sz w:val="21"/>
          <w:szCs w:val="21"/>
        </w:rPr>
      </w:pPr>
      <w:r>
        <w:rPr>
          <w:rFonts w:eastAsia="黑体"/>
          <w:spacing w:val="0"/>
          <w:sz w:val="21"/>
          <w:szCs w:val="21"/>
        </w:rPr>
        <w:t xml:space="preserve">图5-4  </w:t>
      </w:r>
      <w:r>
        <w:rPr>
          <w:rFonts w:hint="eastAsia" w:eastAsia="黑体"/>
          <w:spacing w:val="0"/>
          <w:sz w:val="21"/>
          <w:szCs w:val="21"/>
        </w:rPr>
        <w:t>典型脱墨废纸工艺流程图</w:t>
      </w:r>
    </w:p>
    <w:p>
      <w:pPr>
        <w:overflowPunct w:val="0"/>
        <w:topLinePunct/>
        <w:spacing w:line="360" w:lineRule="auto"/>
        <w:jc w:val="center"/>
        <w:rPr>
          <w:rFonts w:eastAsia="黑体"/>
          <w:spacing w:val="0"/>
          <w:sz w:val="21"/>
          <w:szCs w:val="21"/>
        </w:rPr>
      </w:pPr>
      <w:r>
        <w:rPr>
          <w:rFonts w:eastAsia="等线"/>
          <w:spacing w:val="0"/>
          <w:sz w:val="21"/>
          <w:szCs w:val="22"/>
        </w:rPr>
        <w:drawing>
          <wp:inline distT="0" distB="0" distL="114300" distR="114300">
            <wp:extent cx="5278755" cy="1922780"/>
            <wp:effectExtent l="0" t="0" r="4445" b="762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preferRelativeResize="false">
                      <a:picLocks noChangeAspect="true"/>
                    </pic:cNvPicPr>
                  </pic:nvPicPr>
                  <pic:blipFill>
                    <a:blip r:embed="rId93"/>
                    <a:stretch>
                      <a:fillRect/>
                    </a:stretch>
                  </pic:blipFill>
                  <pic:spPr>
                    <a:xfrm>
                      <a:off x="0" y="0"/>
                      <a:ext cx="5278755" cy="1922780"/>
                    </a:xfrm>
                    <a:prstGeom prst="rect">
                      <a:avLst/>
                    </a:prstGeom>
                    <a:noFill/>
                    <a:ln>
                      <a:noFill/>
                    </a:ln>
                  </pic:spPr>
                </pic:pic>
              </a:graphicData>
            </a:graphic>
          </wp:inline>
        </w:drawing>
      </w:r>
    </w:p>
    <w:p>
      <w:pPr>
        <w:overflowPunct w:val="0"/>
        <w:topLinePunct/>
        <w:spacing w:line="360" w:lineRule="auto"/>
        <w:jc w:val="center"/>
        <w:rPr>
          <w:rFonts w:eastAsia="黑体"/>
          <w:spacing w:val="0"/>
          <w:sz w:val="21"/>
          <w:szCs w:val="21"/>
        </w:rPr>
      </w:pPr>
      <w:r>
        <w:rPr>
          <w:rFonts w:eastAsia="黑体"/>
          <w:spacing w:val="0"/>
          <w:sz w:val="21"/>
          <w:szCs w:val="21"/>
        </w:rPr>
        <w:t xml:space="preserve">图5-5  </w:t>
      </w:r>
      <w:r>
        <w:rPr>
          <w:rFonts w:hint="eastAsia" w:eastAsia="黑体"/>
          <w:spacing w:val="0"/>
          <w:sz w:val="21"/>
          <w:szCs w:val="21"/>
        </w:rPr>
        <w:t>典型废纸制浆工艺流程图</w:t>
      </w:r>
    </w:p>
    <w:p>
      <w:pPr>
        <w:overflowPunct w:val="0"/>
        <w:topLinePunct/>
        <w:spacing w:line="360" w:lineRule="auto"/>
        <w:jc w:val="center"/>
        <w:rPr>
          <w:rFonts w:eastAsia="黑体"/>
          <w:spacing w:val="0"/>
          <w:sz w:val="21"/>
          <w:szCs w:val="21"/>
        </w:rPr>
      </w:pPr>
      <w:r>
        <w:rPr>
          <w:rFonts w:eastAsia="等线"/>
          <w:spacing w:val="0"/>
          <w:sz w:val="21"/>
          <w:szCs w:val="22"/>
        </w:rPr>
        <w:drawing>
          <wp:inline distT="0" distB="0" distL="114300" distR="114300">
            <wp:extent cx="5278755" cy="1282065"/>
            <wp:effectExtent l="0" t="0" r="4445" b="635"/>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preferRelativeResize="false">
                      <a:picLocks noChangeAspect="true"/>
                    </pic:cNvPicPr>
                  </pic:nvPicPr>
                  <pic:blipFill>
                    <a:blip r:embed="rId94"/>
                    <a:stretch>
                      <a:fillRect/>
                    </a:stretch>
                  </pic:blipFill>
                  <pic:spPr>
                    <a:xfrm>
                      <a:off x="0" y="0"/>
                      <a:ext cx="5278755" cy="1282065"/>
                    </a:xfrm>
                    <a:prstGeom prst="rect">
                      <a:avLst/>
                    </a:prstGeom>
                    <a:noFill/>
                    <a:ln>
                      <a:noFill/>
                    </a:ln>
                  </pic:spPr>
                </pic:pic>
              </a:graphicData>
            </a:graphic>
          </wp:inline>
        </w:drawing>
      </w:r>
    </w:p>
    <w:p>
      <w:pPr>
        <w:overflowPunct w:val="0"/>
        <w:topLinePunct/>
        <w:spacing w:line="360" w:lineRule="auto"/>
        <w:jc w:val="center"/>
        <w:rPr>
          <w:rFonts w:eastAsia="黑体"/>
          <w:spacing w:val="0"/>
          <w:sz w:val="21"/>
          <w:szCs w:val="21"/>
        </w:rPr>
      </w:pPr>
      <w:r>
        <w:rPr>
          <w:rFonts w:eastAsia="黑体"/>
          <w:spacing w:val="0"/>
          <w:sz w:val="21"/>
          <w:szCs w:val="21"/>
        </w:rPr>
        <w:t xml:space="preserve">图5-6  </w:t>
      </w:r>
      <w:r>
        <w:rPr>
          <w:rFonts w:hint="eastAsia" w:eastAsia="黑体"/>
          <w:spacing w:val="0"/>
          <w:sz w:val="21"/>
          <w:szCs w:val="21"/>
        </w:rPr>
        <w:t>典型抄纸工艺流程图</w:t>
      </w:r>
    </w:p>
    <w:p>
      <w:pPr>
        <w:overflowPunct w:val="0"/>
        <w:topLinePunct/>
        <w:spacing w:line="500" w:lineRule="exact"/>
        <w:ind w:firstLine="576" w:firstLineChars="200"/>
        <w:outlineLvl w:val="2"/>
        <w:rPr>
          <w:rFonts w:eastAsia="楷体_GB2312"/>
          <w:kern w:val="0"/>
          <w:sz w:val="30"/>
          <w:szCs w:val="30"/>
        </w:rPr>
      </w:pPr>
      <w:bookmarkStart w:id="61" w:name="_Toc121413349"/>
      <w:bookmarkStart w:id="62" w:name="_Toc4124"/>
      <w:r>
        <w:rPr>
          <w:rFonts w:eastAsia="楷体_GB2312"/>
          <w:kern w:val="0"/>
          <w:sz w:val="30"/>
          <w:szCs w:val="30"/>
        </w:rPr>
        <w:t>（三）主要污染物产排环节</w:t>
      </w:r>
      <w:bookmarkEnd w:id="61"/>
      <w:bookmarkEnd w:id="62"/>
    </w:p>
    <w:p>
      <w:pPr>
        <w:overflowPunct w:val="0"/>
        <w:topLinePunct/>
        <w:spacing w:line="500" w:lineRule="exact"/>
        <w:ind w:firstLine="576" w:firstLineChars="200"/>
        <w:rPr>
          <w:sz w:val="30"/>
          <w:szCs w:val="30"/>
        </w:rPr>
      </w:pPr>
      <w:r>
        <w:rPr>
          <w:sz w:val="30"/>
          <w:szCs w:val="30"/>
        </w:rPr>
        <w:t>1、</w:t>
      </w:r>
      <w:r>
        <w:rPr>
          <w:rFonts w:hint="eastAsia"/>
          <w:sz w:val="30"/>
          <w:szCs w:val="30"/>
        </w:rPr>
        <w:t>颗粒物（</w:t>
      </w:r>
      <w:r>
        <w:rPr>
          <w:sz w:val="30"/>
          <w:szCs w:val="30"/>
        </w:rPr>
        <w:t>PM</w:t>
      </w:r>
      <w:r>
        <w:rPr>
          <w:rFonts w:hint="eastAsia"/>
          <w:sz w:val="30"/>
          <w:szCs w:val="30"/>
        </w:rPr>
        <w:t>）</w:t>
      </w:r>
      <w:r>
        <w:rPr>
          <w:sz w:val="30"/>
          <w:szCs w:val="30"/>
        </w:rPr>
        <w:t>：主要来自备料及厂内锅炉、碱回收炉、焚烧炉等。</w:t>
      </w:r>
    </w:p>
    <w:p>
      <w:pPr>
        <w:overflowPunct w:val="0"/>
        <w:topLinePunct/>
        <w:spacing w:line="500" w:lineRule="exact"/>
        <w:ind w:firstLine="576" w:firstLineChars="200"/>
        <w:rPr>
          <w:sz w:val="30"/>
          <w:szCs w:val="30"/>
        </w:rPr>
      </w:pPr>
      <w:r>
        <w:rPr>
          <w:sz w:val="30"/>
          <w:szCs w:val="30"/>
        </w:rPr>
        <w:t>2、</w:t>
      </w:r>
      <w:r>
        <w:rPr>
          <w:rFonts w:hint="eastAsia"/>
          <w:sz w:val="30"/>
          <w:szCs w:val="30"/>
        </w:rPr>
        <w:t>二氧化硫（</w:t>
      </w:r>
      <w:r>
        <w:rPr>
          <w:sz w:val="30"/>
          <w:szCs w:val="30"/>
        </w:rPr>
        <w:t>SO</w:t>
      </w:r>
      <w:r>
        <w:rPr>
          <w:sz w:val="30"/>
          <w:szCs w:val="30"/>
          <w:vertAlign w:val="subscript"/>
        </w:rPr>
        <w:t>2</w:t>
      </w:r>
      <w:r>
        <w:rPr>
          <w:rFonts w:hint="eastAsia"/>
          <w:sz w:val="30"/>
          <w:szCs w:val="30"/>
        </w:rPr>
        <w:t>）</w:t>
      </w:r>
      <w:r>
        <w:rPr>
          <w:sz w:val="30"/>
          <w:szCs w:val="30"/>
        </w:rPr>
        <w:t>、</w:t>
      </w:r>
      <w:r>
        <w:rPr>
          <w:rFonts w:hint="eastAsia"/>
          <w:sz w:val="30"/>
          <w:szCs w:val="30"/>
        </w:rPr>
        <w:t>氮氧化物（</w:t>
      </w:r>
      <w:r>
        <w:rPr>
          <w:sz w:val="30"/>
          <w:szCs w:val="30"/>
        </w:rPr>
        <w:t>NO</w:t>
      </w:r>
      <w:r>
        <w:rPr>
          <w:i/>
          <w:iCs/>
          <w:sz w:val="30"/>
          <w:szCs w:val="30"/>
          <w:vertAlign w:val="subscript"/>
        </w:rPr>
        <w:t>x</w:t>
      </w:r>
      <w:r>
        <w:rPr>
          <w:rFonts w:hint="eastAsia"/>
          <w:sz w:val="30"/>
          <w:szCs w:val="30"/>
        </w:rPr>
        <w:t>）</w:t>
      </w:r>
      <w:r>
        <w:rPr>
          <w:sz w:val="30"/>
          <w:szCs w:val="30"/>
        </w:rPr>
        <w:t>：主要来自厂内锅炉、碱回收炉、焚烧炉等。</w:t>
      </w:r>
    </w:p>
    <w:p>
      <w:pPr>
        <w:overflowPunct w:val="0"/>
        <w:topLinePunct/>
        <w:spacing w:line="500" w:lineRule="exact"/>
        <w:ind w:firstLine="576" w:firstLineChars="200"/>
        <w:rPr>
          <w:sz w:val="30"/>
          <w:szCs w:val="30"/>
        </w:rPr>
      </w:pPr>
      <w:r>
        <w:rPr>
          <w:sz w:val="30"/>
          <w:szCs w:val="30"/>
        </w:rPr>
        <w:t>3、</w:t>
      </w:r>
      <w:r>
        <w:rPr>
          <w:rFonts w:hint="eastAsia"/>
          <w:sz w:val="30"/>
          <w:szCs w:val="30"/>
        </w:rPr>
        <w:t>挥发性有机物（</w:t>
      </w:r>
      <w:r>
        <w:rPr>
          <w:sz w:val="30"/>
          <w:szCs w:val="30"/>
        </w:rPr>
        <w:t>VOCs</w:t>
      </w:r>
      <w:r>
        <w:rPr>
          <w:rFonts w:hint="eastAsia"/>
          <w:sz w:val="30"/>
          <w:szCs w:val="30"/>
        </w:rPr>
        <w:t>）</w:t>
      </w:r>
      <w:r>
        <w:rPr>
          <w:sz w:val="30"/>
          <w:szCs w:val="30"/>
        </w:rPr>
        <w:t>：主要来自企业涉VOCs物料的储存输送等工序。</w:t>
      </w:r>
    </w:p>
    <w:p>
      <w:pPr>
        <w:overflowPunct w:val="0"/>
        <w:topLinePunct/>
        <w:spacing w:line="500" w:lineRule="exact"/>
        <w:ind w:firstLine="576" w:firstLineChars="200"/>
        <w:rPr>
          <w:sz w:val="30"/>
          <w:szCs w:val="30"/>
        </w:rPr>
      </w:pPr>
      <w:r>
        <w:rPr>
          <w:sz w:val="30"/>
          <w:szCs w:val="30"/>
        </w:rPr>
        <w:t>4、汞及其化合物：主要来自于企业燃煤锅炉。</w:t>
      </w:r>
    </w:p>
    <w:p>
      <w:pPr>
        <w:overflowPunct w:val="0"/>
        <w:topLinePunct/>
        <w:spacing w:line="500" w:lineRule="exact"/>
        <w:ind w:firstLine="576" w:firstLineChars="200"/>
        <w:rPr>
          <w:sz w:val="28"/>
          <w:szCs w:val="28"/>
        </w:rPr>
        <w:sectPr>
          <w:headerReference r:id="rId35" w:type="default"/>
          <w:footerReference r:id="rId37" w:type="default"/>
          <w:headerReference r:id="rId36" w:type="even"/>
          <w:footerReference r:id="rId38" w:type="even"/>
          <w:pgSz w:w="11906" w:h="16838"/>
          <w:pgMar w:top="2098" w:right="1474" w:bottom="1247" w:left="1588" w:header="851" w:footer="992" w:gutter="0"/>
          <w:cols w:space="720" w:num="1"/>
          <w:docGrid w:type="lines" w:linePitch="312" w:charSpace="0"/>
        </w:sectPr>
      </w:pPr>
      <w:r>
        <w:rPr>
          <w:sz w:val="30"/>
          <w:szCs w:val="30"/>
        </w:rPr>
        <w:t>5、恶臭：主要来自</w:t>
      </w:r>
      <w:r>
        <w:rPr>
          <w:rFonts w:hint="eastAsia"/>
          <w:sz w:val="30"/>
          <w:szCs w:val="30"/>
        </w:rPr>
        <w:t>蒸煮、洗涤、筛选、黑液（废液）蒸发、污水处理厂等工段</w:t>
      </w:r>
      <w:r>
        <w:rPr>
          <w:sz w:val="30"/>
          <w:szCs w:val="30"/>
        </w:rPr>
        <w:t>。</w:t>
      </w:r>
    </w:p>
    <w:p>
      <w:pPr>
        <w:overflowPunct w:val="0"/>
        <w:topLinePunct/>
        <w:spacing w:line="360" w:lineRule="auto"/>
        <w:jc w:val="left"/>
        <w:outlineLvl w:val="2"/>
        <w:rPr>
          <w:rFonts w:eastAsia="楷体_GB2312"/>
          <w:kern w:val="0"/>
          <w:sz w:val="30"/>
          <w:szCs w:val="30"/>
        </w:rPr>
      </w:pPr>
      <w:bookmarkStart w:id="63" w:name="_Toc6654"/>
      <w:bookmarkStart w:id="64" w:name="_Toc121413350"/>
      <w:r>
        <w:rPr>
          <w:rFonts w:eastAsia="楷体_GB2312"/>
          <w:kern w:val="0"/>
          <w:sz w:val="30"/>
          <w:szCs w:val="30"/>
        </w:rPr>
        <w:t>（四）绩效引领性指标</w:t>
      </w:r>
      <w:bookmarkEnd w:id="63"/>
      <w:bookmarkEnd w:id="64"/>
    </w:p>
    <w:p>
      <w:pPr>
        <w:overflowPunct w:val="0"/>
        <w:topLinePunct/>
        <w:jc w:val="center"/>
        <w:rPr>
          <w:rFonts w:eastAsia="黑体"/>
          <w:kern w:val="0"/>
          <w:sz w:val="24"/>
          <w:szCs w:val="24"/>
        </w:rPr>
      </w:pPr>
      <w:r>
        <w:rPr>
          <w:rFonts w:eastAsia="黑体"/>
          <w:kern w:val="0"/>
          <w:sz w:val="24"/>
          <w:szCs w:val="24"/>
        </w:rPr>
        <w:t>表5-1  纸浆制造与造纸行业绩效引领性指标</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816"/>
        <w:gridCol w:w="1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blHeader/>
          <w:jc w:val="center"/>
        </w:trPr>
        <w:tc>
          <w:tcPr>
            <w:tcW w:w="67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hint="eastAsia" w:ascii="黑体" w:hAnsi="黑体" w:eastAsia="黑体" w:cs="黑体"/>
                <w:kern w:val="0"/>
                <w:sz w:val="21"/>
                <w:szCs w:val="21"/>
              </w:rPr>
            </w:pPr>
            <w:r>
              <w:rPr>
                <w:rFonts w:hint="eastAsia" w:ascii="黑体" w:hAnsi="黑体" w:eastAsia="黑体" w:cs="黑体"/>
                <w:kern w:val="0"/>
                <w:sz w:val="21"/>
                <w:szCs w:val="21"/>
              </w:rPr>
              <w:t>引领性指标</w:t>
            </w:r>
          </w:p>
        </w:tc>
        <w:tc>
          <w:tcPr>
            <w:tcW w:w="4329"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hint="eastAsia" w:ascii="黑体" w:hAnsi="黑体" w:eastAsia="黑体" w:cs="黑体"/>
                <w:kern w:val="0"/>
                <w:sz w:val="21"/>
                <w:szCs w:val="21"/>
              </w:rPr>
            </w:pPr>
            <w:r>
              <w:rPr>
                <w:rFonts w:hint="eastAsia" w:ascii="黑体" w:hAnsi="黑体" w:eastAsia="黑体" w:cs="黑体"/>
                <w:kern w:val="0"/>
                <w:sz w:val="21"/>
                <w:szCs w:val="21"/>
              </w:rPr>
              <w:t>纸浆制造与造纸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67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能源类型</w:t>
            </w:r>
          </w:p>
        </w:tc>
        <w:tc>
          <w:tcPr>
            <w:tcW w:w="4329" w:type="pct"/>
            <w:tcBorders>
              <w:top w:val="single" w:color="auto" w:sz="4" w:space="0"/>
              <w:left w:val="single" w:color="auto" w:sz="4" w:space="0"/>
              <w:bottom w:val="single" w:color="auto" w:sz="4" w:space="0"/>
              <w:right w:val="single" w:color="auto" w:sz="4" w:space="0"/>
            </w:tcBorders>
          </w:tcPr>
          <w:p>
            <w:pPr>
              <w:overflowPunct w:val="0"/>
              <w:topLinePunct/>
              <w:spacing w:line="320" w:lineRule="exact"/>
              <w:jc w:val="left"/>
              <w:rPr>
                <w:kern w:val="0"/>
                <w:sz w:val="20"/>
              </w:rPr>
            </w:pPr>
            <w:r>
              <w:rPr>
                <w:rFonts w:hint="eastAsia"/>
                <w:kern w:val="0"/>
                <w:sz w:val="20"/>
              </w:rPr>
              <w:t>使用电、天然气、集中供热等清洁能源，燃煤锅炉使用硫分小于等于1%的低硫煤。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67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生产工艺及装备水平</w:t>
            </w:r>
          </w:p>
        </w:tc>
        <w:tc>
          <w:tcPr>
            <w:tcW w:w="4329"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left"/>
              <w:rPr>
                <w:kern w:val="0"/>
                <w:sz w:val="20"/>
              </w:rPr>
            </w:pPr>
            <w:r>
              <w:rPr>
                <w:rFonts w:hint="eastAsia"/>
                <w:kern w:val="0"/>
                <w:sz w:val="20"/>
              </w:rPr>
              <w:t>属于《产业结构调整指导目录》鼓励类。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67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污染治理技术</w:t>
            </w:r>
          </w:p>
        </w:tc>
        <w:tc>
          <w:tcPr>
            <w:tcW w:w="4329" w:type="pct"/>
            <w:tcBorders>
              <w:top w:val="single" w:color="auto" w:sz="4" w:space="0"/>
              <w:left w:val="single" w:color="auto" w:sz="4" w:space="0"/>
              <w:bottom w:val="single" w:color="auto" w:sz="4" w:space="0"/>
              <w:right w:val="single" w:color="auto" w:sz="4" w:space="0"/>
            </w:tcBorders>
          </w:tcPr>
          <w:p>
            <w:pPr>
              <w:tabs>
                <w:tab w:val="left" w:pos="268"/>
              </w:tabs>
              <w:overflowPunct w:val="0"/>
              <w:topLinePunct/>
              <w:spacing w:line="320" w:lineRule="exact"/>
              <w:jc w:val="left"/>
              <w:rPr>
                <w:kern w:val="0"/>
                <w:sz w:val="20"/>
              </w:rPr>
            </w:pPr>
            <w:r>
              <w:rPr>
                <w:rFonts w:hint="eastAsia"/>
                <w:kern w:val="0"/>
                <w:sz w:val="20"/>
              </w:rPr>
              <w:t>1、PM</w:t>
            </w:r>
            <w:r>
              <w:rPr>
                <w:rFonts w:hint="eastAsia"/>
                <w:kern w:val="0"/>
                <w:sz w:val="20"/>
                <w:vertAlign w:val="superscript"/>
              </w:rPr>
              <w:t>【1】</w:t>
            </w:r>
            <w:r>
              <w:rPr>
                <w:rFonts w:hint="eastAsia"/>
                <w:kern w:val="0"/>
                <w:sz w:val="20"/>
              </w:rPr>
              <w:t>采用袋式除尘技术、四电场及以上静电除尘、电袋复合式除尘等高效除尘技术。</w:t>
            </w:r>
          </w:p>
          <w:p>
            <w:pPr>
              <w:tabs>
                <w:tab w:val="left" w:pos="268"/>
              </w:tabs>
              <w:overflowPunct w:val="0"/>
              <w:topLinePunct/>
              <w:spacing w:line="320" w:lineRule="exact"/>
              <w:jc w:val="left"/>
              <w:rPr>
                <w:kern w:val="0"/>
                <w:sz w:val="20"/>
              </w:rPr>
            </w:pPr>
            <w:r>
              <w:rPr>
                <w:rFonts w:hint="eastAsia"/>
                <w:kern w:val="0"/>
                <w:sz w:val="20"/>
              </w:rPr>
              <w:t>2、SO</w:t>
            </w:r>
            <w:r>
              <w:rPr>
                <w:rFonts w:hint="eastAsia"/>
                <w:kern w:val="0"/>
                <w:sz w:val="20"/>
                <w:vertAlign w:val="subscript"/>
              </w:rPr>
              <w:t>2</w:t>
            </w:r>
            <w:r>
              <w:rPr>
                <w:rFonts w:hint="eastAsia"/>
                <w:kern w:val="0"/>
                <w:sz w:val="20"/>
              </w:rPr>
              <w:t>采用石灰石/石灰-石膏法等湿法脱硫技术、喷雾干燥法脱硫技术、炉内喷钙法、循环流化床法脱硫等适宜技术。</w:t>
            </w:r>
          </w:p>
          <w:p>
            <w:pPr>
              <w:tabs>
                <w:tab w:val="left" w:pos="267"/>
              </w:tabs>
              <w:overflowPunct w:val="0"/>
              <w:topLinePunct/>
              <w:spacing w:line="320" w:lineRule="exact"/>
              <w:jc w:val="left"/>
              <w:rPr>
                <w:kern w:val="0"/>
                <w:sz w:val="20"/>
              </w:rPr>
            </w:pPr>
            <w:r>
              <w:rPr>
                <w:rFonts w:hint="eastAsia"/>
                <w:kern w:val="0"/>
                <w:sz w:val="20"/>
              </w:rPr>
              <w:t>3、NO</w:t>
            </w:r>
            <w:r>
              <w:rPr>
                <w:rFonts w:hint="eastAsia"/>
                <w:i/>
                <w:iCs/>
                <w:kern w:val="0"/>
                <w:sz w:val="20"/>
                <w:vertAlign w:val="subscript"/>
              </w:rPr>
              <w:t>x</w:t>
            </w:r>
            <w:r>
              <w:rPr>
                <w:rFonts w:hint="eastAsia"/>
                <w:kern w:val="0"/>
                <w:sz w:val="20"/>
              </w:rPr>
              <w:t>采用高效低氮燃烧器、选择性催化还原脱硝技术（SCR）、选择性非催化还原脱硝技术（SNCR）等适宜技术。</w:t>
            </w:r>
          </w:p>
          <w:p>
            <w:pPr>
              <w:tabs>
                <w:tab w:val="left" w:pos="267"/>
              </w:tabs>
              <w:overflowPunct w:val="0"/>
              <w:topLinePunct/>
              <w:spacing w:line="320" w:lineRule="exact"/>
              <w:jc w:val="left"/>
              <w:rPr>
                <w:kern w:val="0"/>
                <w:sz w:val="20"/>
              </w:rPr>
            </w:pPr>
            <w:r>
              <w:rPr>
                <w:rFonts w:hint="eastAsia"/>
                <w:kern w:val="0"/>
                <w:sz w:val="20"/>
              </w:rPr>
              <w:t>4、汞及其化合物</w:t>
            </w:r>
            <w:r>
              <w:rPr>
                <w:rFonts w:hint="eastAsia"/>
                <w:kern w:val="0"/>
                <w:sz w:val="20"/>
                <w:vertAlign w:val="superscript"/>
              </w:rPr>
              <w:t>【2】</w:t>
            </w:r>
            <w:r>
              <w:rPr>
                <w:rFonts w:hint="eastAsia"/>
                <w:kern w:val="0"/>
                <w:sz w:val="20"/>
              </w:rPr>
              <w:t>采用烟气脱硝+静电除尘/布袋除尘+湿法烟气脱硫的组合技术进行协同控制，如采用协同控制还无法满足限值要求，可采用炉内添加卤化物等和烟道喷入活性炭吸附剂。</w:t>
            </w:r>
          </w:p>
          <w:p>
            <w:pPr>
              <w:tabs>
                <w:tab w:val="left" w:pos="268"/>
              </w:tabs>
              <w:overflowPunct w:val="0"/>
              <w:topLinePunct/>
              <w:spacing w:line="320" w:lineRule="exact"/>
              <w:jc w:val="left"/>
              <w:rPr>
                <w:kern w:val="0"/>
                <w:sz w:val="20"/>
              </w:rPr>
            </w:pPr>
            <w:r>
              <w:rPr>
                <w:rFonts w:hint="eastAsia"/>
                <w:kern w:val="0"/>
                <w:sz w:val="20"/>
              </w:rPr>
              <w:t>5、VOCs治理采用活性炭吸附（</w:t>
            </w:r>
            <w:r>
              <w:rPr>
                <w:rFonts w:hint="eastAsia"/>
                <w:b w:val="0"/>
                <w:bCs w:val="0"/>
                <w:sz w:val="20"/>
                <w:szCs w:val="20"/>
                <w:lang w:val="en-US" w:eastAsia="zh-CN"/>
              </w:rPr>
              <w:t>采用颗粒状活性炭要求碘值不低于800 mg/g，采用蜂窝状活性炭要求碘值不低于650 mg/g，且预处理单元应配备温湿度仪及压差表</w:t>
            </w:r>
            <w:r>
              <w:rPr>
                <w:rFonts w:hint="eastAsia"/>
                <w:kern w:val="0"/>
                <w:sz w:val="20"/>
              </w:rPr>
              <w:t>）、燃烧法等处理工艺。</w:t>
            </w:r>
          </w:p>
          <w:p>
            <w:pPr>
              <w:tabs>
                <w:tab w:val="left" w:pos="268"/>
              </w:tabs>
              <w:overflowPunct w:val="0"/>
              <w:topLinePunct/>
              <w:spacing w:line="320" w:lineRule="exact"/>
              <w:jc w:val="left"/>
              <w:rPr>
                <w:kern w:val="0"/>
                <w:sz w:val="20"/>
              </w:rPr>
            </w:pPr>
            <w:r>
              <w:rPr>
                <w:rFonts w:hint="eastAsia"/>
                <w:kern w:val="0"/>
                <w:sz w:val="20"/>
              </w:rPr>
              <w:t>6、所有产生恶臭气体工段须建立有效收集处理设施，污水处理设施、污泥间的高浓度恶臭气体采用燃烧法处理，或采用光催化氧化、活性炭吸附、生物法、喷淋吸收或其他等效适宜的两级及以上串联技术处理。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67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排放限值</w:t>
            </w:r>
          </w:p>
        </w:tc>
        <w:tc>
          <w:tcPr>
            <w:tcW w:w="4329" w:type="pct"/>
            <w:tcBorders>
              <w:top w:val="single" w:color="auto" w:sz="4" w:space="0"/>
              <w:left w:val="single" w:color="auto" w:sz="4" w:space="0"/>
              <w:bottom w:val="single" w:color="auto" w:sz="4" w:space="0"/>
              <w:right w:val="single" w:color="auto" w:sz="4" w:space="0"/>
            </w:tcBorders>
          </w:tcPr>
          <w:p>
            <w:pPr>
              <w:numPr>
                <w:ilvl w:val="0"/>
                <w:numId w:val="0"/>
              </w:numPr>
              <w:tabs>
                <w:tab w:val="left" w:pos="268"/>
              </w:tabs>
              <w:overflowPunct w:val="0"/>
              <w:topLinePunct/>
              <w:spacing w:line="320" w:lineRule="exact"/>
              <w:jc w:val="left"/>
              <w:rPr>
                <w:rFonts w:hint="eastAsia"/>
                <w:kern w:val="0"/>
                <w:sz w:val="20"/>
              </w:rPr>
            </w:pPr>
            <w:r>
              <w:rPr>
                <w:rFonts w:hint="eastAsia" w:ascii="Times New Roman" w:hAnsi="Times New Roman" w:eastAsia="仿宋_GB2312" w:cs="Times New Roman"/>
                <w:spacing w:val="-6"/>
                <w:kern w:val="0"/>
                <w:sz w:val="20"/>
                <w:lang w:val="en-US" w:eastAsia="zh-CN" w:bidi="ar-SA"/>
              </w:rPr>
              <w:t>1、</w:t>
            </w:r>
            <w:r>
              <w:rPr>
                <w:rFonts w:hint="eastAsia"/>
                <w:kern w:val="0"/>
                <w:sz w:val="20"/>
              </w:rPr>
              <w:t>燃煤/燃生物质（碱回收炉除外）：PM、SO</w:t>
            </w:r>
            <w:r>
              <w:rPr>
                <w:rFonts w:hint="eastAsia"/>
                <w:kern w:val="0"/>
                <w:sz w:val="20"/>
                <w:vertAlign w:val="subscript"/>
              </w:rPr>
              <w:t>2</w:t>
            </w:r>
            <w:r>
              <w:rPr>
                <w:rFonts w:hint="eastAsia"/>
                <w:kern w:val="0"/>
                <w:sz w:val="20"/>
              </w:rPr>
              <w:t>、NO</w:t>
            </w:r>
            <w:r>
              <w:rPr>
                <w:rFonts w:hint="eastAsia"/>
                <w:i/>
                <w:iCs/>
                <w:kern w:val="0"/>
                <w:sz w:val="20"/>
              </w:rPr>
              <w:t>x</w:t>
            </w:r>
            <w:r>
              <w:rPr>
                <w:rFonts w:hint="eastAsia"/>
                <w:kern w:val="0"/>
                <w:sz w:val="20"/>
              </w:rPr>
              <w:t>排放浓度分别不高于：10、35、50</w:t>
            </w:r>
            <w:r>
              <w:rPr>
                <w:rFonts w:hint="eastAsia"/>
                <w:kern w:val="0"/>
                <w:sz w:val="20"/>
                <w:lang w:val="en-US" w:eastAsia="zh-CN"/>
              </w:rPr>
              <w:t xml:space="preserve"> </w:t>
            </w:r>
            <w:r>
              <w:rPr>
                <w:rFonts w:hint="eastAsia"/>
                <w:kern w:val="0"/>
                <w:sz w:val="20"/>
              </w:rPr>
              <w:t>mg/m</w:t>
            </w:r>
            <w:r>
              <w:rPr>
                <w:rFonts w:hint="eastAsia"/>
                <w:kern w:val="0"/>
                <w:sz w:val="20"/>
                <w:vertAlign w:val="superscript"/>
              </w:rPr>
              <w:t>3</w:t>
            </w:r>
            <w:r>
              <w:rPr>
                <w:rFonts w:hint="eastAsia"/>
                <w:kern w:val="0"/>
                <w:sz w:val="20"/>
              </w:rPr>
              <w:t>；（基准含氧量：</w:t>
            </w:r>
            <w:r>
              <w:rPr>
                <w:rFonts w:hint="eastAsia"/>
                <w:kern w:val="0"/>
                <w:sz w:val="20"/>
                <w:lang w:val="en-US" w:eastAsia="zh-CN"/>
              </w:rPr>
              <w:t>65t/h及以上：</w:t>
            </w:r>
            <w:r>
              <w:rPr>
                <w:rFonts w:hint="eastAsia"/>
                <w:kern w:val="0"/>
                <w:sz w:val="20"/>
              </w:rPr>
              <w:t>6%</w:t>
            </w:r>
            <w:r>
              <w:rPr>
                <w:rFonts w:hint="eastAsia"/>
                <w:kern w:val="0"/>
                <w:sz w:val="20"/>
                <w:lang w:eastAsia="zh-CN"/>
              </w:rPr>
              <w:t>；</w:t>
            </w:r>
            <w:r>
              <w:rPr>
                <w:rFonts w:hint="eastAsia"/>
                <w:kern w:val="0"/>
                <w:sz w:val="20"/>
                <w:lang w:val="en-US" w:eastAsia="zh-CN"/>
              </w:rPr>
              <w:t>65t/h以下：9%</w:t>
            </w:r>
            <w:r>
              <w:rPr>
                <w:rFonts w:hint="eastAsia"/>
                <w:kern w:val="0"/>
                <w:sz w:val="20"/>
              </w:rPr>
              <w:t>）。</w:t>
            </w:r>
          </w:p>
          <w:p>
            <w:pPr>
              <w:numPr>
                <w:ilvl w:val="0"/>
                <w:numId w:val="0"/>
              </w:numPr>
              <w:tabs>
                <w:tab w:val="left" w:pos="268"/>
              </w:tabs>
              <w:overflowPunct w:val="0"/>
              <w:topLinePunct/>
              <w:spacing w:line="320" w:lineRule="exact"/>
              <w:jc w:val="left"/>
              <w:rPr>
                <w:rFonts w:hint="eastAsia"/>
                <w:kern w:val="0"/>
                <w:sz w:val="20"/>
              </w:rPr>
            </w:pPr>
            <w:r>
              <w:rPr>
                <w:rFonts w:hint="eastAsia" w:ascii="Times New Roman" w:hAnsi="Times New Roman" w:eastAsia="仿宋_GB2312" w:cs="Times New Roman"/>
                <w:spacing w:val="-6"/>
                <w:kern w:val="0"/>
                <w:sz w:val="20"/>
                <w:lang w:val="en-US" w:eastAsia="zh-CN" w:bidi="ar-SA"/>
              </w:rPr>
              <w:t>2、</w:t>
            </w:r>
            <w:r>
              <w:rPr>
                <w:rFonts w:hint="eastAsia"/>
                <w:kern w:val="0"/>
                <w:sz w:val="20"/>
                <w:lang w:eastAsia="zh-CN"/>
              </w:rPr>
              <w:t>燃油：</w:t>
            </w:r>
            <w:r>
              <w:rPr>
                <w:rFonts w:hint="eastAsia"/>
                <w:kern w:val="0"/>
                <w:sz w:val="20"/>
              </w:rPr>
              <w:t>PM、SO</w:t>
            </w:r>
            <w:r>
              <w:rPr>
                <w:rFonts w:hint="eastAsia"/>
                <w:kern w:val="0"/>
                <w:sz w:val="20"/>
                <w:vertAlign w:val="subscript"/>
              </w:rPr>
              <w:t>2</w:t>
            </w:r>
            <w:r>
              <w:rPr>
                <w:rFonts w:hint="eastAsia"/>
                <w:kern w:val="0"/>
                <w:sz w:val="20"/>
              </w:rPr>
              <w:t>、NO</w:t>
            </w:r>
            <w:r>
              <w:rPr>
                <w:rFonts w:hint="eastAsia"/>
                <w:i/>
                <w:iCs/>
                <w:kern w:val="0"/>
                <w:sz w:val="20"/>
              </w:rPr>
              <w:t>x</w:t>
            </w:r>
            <w:r>
              <w:rPr>
                <w:rFonts w:hint="eastAsia"/>
                <w:kern w:val="0"/>
                <w:sz w:val="20"/>
              </w:rPr>
              <w:t>排放浓度分别不高于：10、</w:t>
            </w:r>
            <w:r>
              <w:rPr>
                <w:rFonts w:hint="eastAsia"/>
                <w:kern w:val="0"/>
                <w:sz w:val="20"/>
                <w:lang w:val="en-US" w:eastAsia="zh-CN"/>
              </w:rPr>
              <w:t>20</w:t>
            </w:r>
            <w:r>
              <w:rPr>
                <w:rFonts w:hint="eastAsia"/>
                <w:kern w:val="0"/>
                <w:sz w:val="20"/>
              </w:rPr>
              <w:t>、</w:t>
            </w:r>
            <w:r>
              <w:rPr>
                <w:rFonts w:hint="eastAsia"/>
                <w:kern w:val="0"/>
                <w:sz w:val="20"/>
                <w:lang w:val="en-US" w:eastAsia="zh-CN"/>
              </w:rPr>
              <w:t>8</w:t>
            </w:r>
            <w:r>
              <w:rPr>
                <w:rFonts w:hint="eastAsia"/>
                <w:kern w:val="0"/>
                <w:sz w:val="20"/>
              </w:rPr>
              <w:t>0</w:t>
            </w:r>
            <w:r>
              <w:rPr>
                <w:rFonts w:hint="eastAsia"/>
                <w:kern w:val="0"/>
                <w:sz w:val="20"/>
                <w:lang w:val="en-US" w:eastAsia="zh-CN"/>
              </w:rPr>
              <w:t xml:space="preserve"> </w:t>
            </w:r>
            <w:r>
              <w:rPr>
                <w:rFonts w:hint="eastAsia"/>
                <w:kern w:val="0"/>
                <w:sz w:val="20"/>
              </w:rPr>
              <w:t>mg/m</w:t>
            </w:r>
            <w:r>
              <w:rPr>
                <w:rFonts w:hint="eastAsia"/>
                <w:kern w:val="0"/>
                <w:sz w:val="20"/>
                <w:vertAlign w:val="superscript"/>
              </w:rPr>
              <w:t>3</w:t>
            </w:r>
            <w:r>
              <w:rPr>
                <w:rFonts w:hint="eastAsia"/>
                <w:kern w:val="0"/>
                <w:sz w:val="20"/>
              </w:rPr>
              <w:t>；</w:t>
            </w:r>
            <w:r>
              <w:rPr>
                <w:rFonts w:hint="eastAsia"/>
                <w:kern w:val="0"/>
                <w:sz w:val="20"/>
                <w:lang w:eastAsia="zh-CN"/>
              </w:rPr>
              <w:t>（基准氧含量</w:t>
            </w:r>
            <w:r>
              <w:rPr>
                <w:rFonts w:hint="eastAsia"/>
                <w:kern w:val="0"/>
                <w:sz w:val="20"/>
                <w:lang w:val="en-US" w:eastAsia="zh-CN"/>
              </w:rPr>
              <w:t>3.5%</w:t>
            </w:r>
            <w:r>
              <w:rPr>
                <w:rFonts w:hint="eastAsia"/>
                <w:kern w:val="0"/>
                <w:sz w:val="20"/>
                <w:lang w:eastAsia="zh-CN"/>
              </w:rPr>
              <w:t>）</w:t>
            </w:r>
          </w:p>
          <w:p>
            <w:pPr>
              <w:tabs>
                <w:tab w:val="left" w:pos="268"/>
              </w:tabs>
              <w:overflowPunct w:val="0"/>
              <w:topLinePunct/>
              <w:spacing w:line="320" w:lineRule="exact"/>
              <w:jc w:val="left"/>
              <w:rPr>
                <w:kern w:val="0"/>
                <w:sz w:val="20"/>
              </w:rPr>
            </w:pPr>
            <w:r>
              <w:rPr>
                <w:rFonts w:hint="eastAsia"/>
                <w:kern w:val="0"/>
                <w:sz w:val="20"/>
                <w:lang w:val="en-US" w:eastAsia="zh-CN"/>
              </w:rPr>
              <w:t>3</w:t>
            </w:r>
            <w:r>
              <w:rPr>
                <w:rFonts w:hint="eastAsia"/>
                <w:kern w:val="0"/>
                <w:sz w:val="20"/>
              </w:rPr>
              <w:t>、燃气锅炉：PM、SO</w:t>
            </w:r>
            <w:r>
              <w:rPr>
                <w:rFonts w:hint="eastAsia"/>
                <w:kern w:val="0"/>
                <w:sz w:val="20"/>
                <w:vertAlign w:val="subscript"/>
              </w:rPr>
              <w:t>2</w:t>
            </w:r>
            <w:r>
              <w:rPr>
                <w:rFonts w:hint="eastAsia"/>
                <w:kern w:val="0"/>
                <w:sz w:val="20"/>
              </w:rPr>
              <w:t>、NO</w:t>
            </w:r>
            <w:r>
              <w:rPr>
                <w:rFonts w:hint="eastAsia"/>
                <w:i/>
                <w:iCs/>
                <w:kern w:val="0"/>
                <w:sz w:val="20"/>
                <w:vertAlign w:val="subscript"/>
              </w:rPr>
              <w:t>x</w:t>
            </w:r>
            <w:r>
              <w:rPr>
                <w:rFonts w:hint="eastAsia"/>
                <w:kern w:val="0"/>
                <w:sz w:val="20"/>
              </w:rPr>
              <w:t>排放浓度分别不高于5、10、</w:t>
            </w:r>
            <w:r>
              <w:rPr>
                <w:rFonts w:hint="eastAsia"/>
                <w:kern w:val="0"/>
                <w:sz w:val="20"/>
                <w:lang w:val="en-US" w:eastAsia="zh-CN"/>
              </w:rPr>
              <w:t>3</w:t>
            </w:r>
            <w:r>
              <w:rPr>
                <w:rFonts w:hint="eastAsia"/>
                <w:kern w:val="0"/>
                <w:sz w:val="20"/>
              </w:rPr>
              <w:t>0 mg/m</w:t>
            </w:r>
            <w:r>
              <w:rPr>
                <w:rFonts w:hint="eastAsia"/>
                <w:kern w:val="0"/>
                <w:sz w:val="20"/>
                <w:vertAlign w:val="superscript"/>
              </w:rPr>
              <w:t>3</w:t>
            </w:r>
            <w:r>
              <w:rPr>
                <w:rFonts w:hint="eastAsia"/>
                <w:kern w:val="0"/>
                <w:sz w:val="20"/>
              </w:rPr>
              <w:t>（基准含氧量3.5%）。</w:t>
            </w:r>
          </w:p>
          <w:p>
            <w:pPr>
              <w:tabs>
                <w:tab w:val="left" w:pos="268"/>
              </w:tabs>
              <w:overflowPunct w:val="0"/>
              <w:topLinePunct/>
              <w:spacing w:line="320" w:lineRule="exact"/>
              <w:jc w:val="left"/>
              <w:rPr>
                <w:kern w:val="0"/>
                <w:sz w:val="20"/>
              </w:rPr>
            </w:pPr>
            <w:r>
              <w:rPr>
                <w:rFonts w:hint="eastAsia"/>
                <w:kern w:val="0"/>
                <w:sz w:val="20"/>
                <w:lang w:val="en-US" w:eastAsia="zh-CN"/>
              </w:rPr>
              <w:t>4</w:t>
            </w:r>
            <w:r>
              <w:rPr>
                <w:rFonts w:hint="eastAsia"/>
                <w:kern w:val="0"/>
                <w:sz w:val="20"/>
              </w:rPr>
              <w:t>、碱回收炉：65t/h</w:t>
            </w:r>
            <w:r>
              <w:rPr>
                <w:rFonts w:hint="eastAsia"/>
                <w:kern w:val="0"/>
                <w:sz w:val="20"/>
                <w:lang w:eastAsia="zh-CN"/>
              </w:rPr>
              <w:t>及</w:t>
            </w:r>
            <w:r>
              <w:rPr>
                <w:rFonts w:hint="eastAsia"/>
                <w:kern w:val="0"/>
                <w:sz w:val="20"/>
              </w:rPr>
              <w:t>以上碱回收炉在基准氧含量6%的条件下，PM、SO</w:t>
            </w:r>
            <w:r>
              <w:rPr>
                <w:rFonts w:hint="eastAsia"/>
                <w:kern w:val="0"/>
                <w:sz w:val="20"/>
                <w:vertAlign w:val="subscript"/>
              </w:rPr>
              <w:t>2</w:t>
            </w:r>
            <w:r>
              <w:rPr>
                <w:rFonts w:hint="eastAsia"/>
                <w:kern w:val="0"/>
                <w:sz w:val="20"/>
              </w:rPr>
              <w:t>、NO</w:t>
            </w:r>
            <w:r>
              <w:rPr>
                <w:rFonts w:hint="eastAsia"/>
                <w:i/>
                <w:iCs/>
                <w:kern w:val="0"/>
                <w:sz w:val="20"/>
                <w:vertAlign w:val="subscript"/>
              </w:rPr>
              <w:t>x</w:t>
            </w:r>
            <w:r>
              <w:rPr>
                <w:rFonts w:hint="eastAsia"/>
                <w:kern w:val="0"/>
                <w:sz w:val="20"/>
              </w:rPr>
              <w:t>排放浓度不超过10、35、</w:t>
            </w:r>
            <w:r>
              <w:rPr>
                <w:rFonts w:hint="eastAsia"/>
                <w:kern w:val="0"/>
                <w:sz w:val="20"/>
                <w:lang w:val="en-US" w:eastAsia="zh-CN"/>
              </w:rPr>
              <w:t>8</w:t>
            </w:r>
            <w:r>
              <w:rPr>
                <w:rFonts w:hint="eastAsia"/>
                <w:kern w:val="0"/>
                <w:sz w:val="20"/>
              </w:rPr>
              <w:t>0mg/m</w:t>
            </w:r>
            <w:r>
              <w:rPr>
                <w:rFonts w:hint="eastAsia"/>
                <w:kern w:val="0"/>
                <w:sz w:val="20"/>
                <w:vertAlign w:val="superscript"/>
              </w:rPr>
              <w:t>3</w:t>
            </w:r>
            <w:r>
              <w:rPr>
                <w:rFonts w:hint="eastAsia"/>
                <w:kern w:val="0"/>
                <w:sz w:val="20"/>
              </w:rPr>
              <w:t>；65t/h以下碱回收炉在基准氧含量9%的条件下，PM、SO</w:t>
            </w:r>
            <w:r>
              <w:rPr>
                <w:rFonts w:hint="eastAsia"/>
                <w:kern w:val="0"/>
                <w:sz w:val="20"/>
                <w:vertAlign w:val="subscript"/>
              </w:rPr>
              <w:t>2</w:t>
            </w:r>
            <w:r>
              <w:rPr>
                <w:rFonts w:hint="eastAsia"/>
                <w:kern w:val="0"/>
                <w:sz w:val="20"/>
              </w:rPr>
              <w:t>、NO</w:t>
            </w:r>
            <w:r>
              <w:rPr>
                <w:rFonts w:hint="eastAsia"/>
                <w:i/>
                <w:iCs/>
                <w:kern w:val="0"/>
                <w:sz w:val="20"/>
                <w:vertAlign w:val="subscript"/>
              </w:rPr>
              <w:t>x</w:t>
            </w:r>
            <w:r>
              <w:rPr>
                <w:rFonts w:hint="eastAsia"/>
                <w:kern w:val="0"/>
                <w:sz w:val="20"/>
              </w:rPr>
              <w:t>排放浓度不超过10、35、100mg/m</w:t>
            </w:r>
            <w:r>
              <w:rPr>
                <w:rFonts w:hint="eastAsia"/>
                <w:kern w:val="0"/>
                <w:sz w:val="20"/>
                <w:vertAlign w:val="superscript"/>
              </w:rPr>
              <w:t>3</w:t>
            </w:r>
            <w:r>
              <w:rPr>
                <w:rFonts w:hint="eastAsia"/>
                <w:kern w:val="0"/>
                <w:sz w:val="20"/>
              </w:rPr>
              <w:t>。</w:t>
            </w:r>
          </w:p>
          <w:p>
            <w:pPr>
              <w:tabs>
                <w:tab w:val="left" w:pos="268"/>
              </w:tabs>
              <w:overflowPunct w:val="0"/>
              <w:topLinePunct/>
              <w:spacing w:line="320" w:lineRule="exact"/>
              <w:jc w:val="left"/>
              <w:rPr>
                <w:kern w:val="0"/>
                <w:sz w:val="20"/>
              </w:rPr>
            </w:pPr>
            <w:r>
              <w:rPr>
                <w:rFonts w:hint="eastAsia"/>
                <w:kern w:val="0"/>
                <w:sz w:val="20"/>
                <w:lang w:val="en-US" w:eastAsia="zh-CN"/>
              </w:rPr>
              <w:t>5</w:t>
            </w:r>
            <w:r>
              <w:rPr>
                <w:rFonts w:hint="eastAsia"/>
                <w:kern w:val="0"/>
                <w:sz w:val="20"/>
              </w:rPr>
              <w:t>、焚烧炉：焚烧危险废物的，焚烧烟气污染物排放满足《危险废物焚烧污染控制标准》（GB</w:t>
            </w:r>
            <w:r>
              <w:rPr>
                <w:rFonts w:hint="eastAsia"/>
                <w:kern w:val="0"/>
                <w:sz w:val="20"/>
                <w:lang w:val="en-US" w:eastAsia="zh-CN"/>
              </w:rPr>
              <w:t xml:space="preserve"> </w:t>
            </w:r>
            <w:r>
              <w:rPr>
                <w:rFonts w:hint="eastAsia"/>
                <w:kern w:val="0"/>
                <w:sz w:val="20"/>
              </w:rPr>
              <w:t>18484）要求；焚烧一般固废的，在基准氧含量11%的条件下，PM、SO</w:t>
            </w:r>
            <w:r>
              <w:rPr>
                <w:rFonts w:hint="eastAsia"/>
                <w:kern w:val="0"/>
                <w:sz w:val="20"/>
                <w:vertAlign w:val="subscript"/>
              </w:rPr>
              <w:t>2</w:t>
            </w:r>
            <w:r>
              <w:rPr>
                <w:rFonts w:hint="eastAsia"/>
                <w:kern w:val="0"/>
                <w:sz w:val="20"/>
              </w:rPr>
              <w:t>、NO</w:t>
            </w:r>
            <w:r>
              <w:rPr>
                <w:rFonts w:hint="eastAsia"/>
                <w:i/>
                <w:iCs/>
                <w:kern w:val="0"/>
                <w:sz w:val="20"/>
                <w:vertAlign w:val="subscript"/>
              </w:rPr>
              <w:t>x</w:t>
            </w:r>
            <w:r>
              <w:rPr>
                <w:rFonts w:hint="eastAsia"/>
                <w:kern w:val="0"/>
                <w:sz w:val="20"/>
              </w:rPr>
              <w:t>排放浓度不超过10、35、100mg/m</w:t>
            </w:r>
            <w:r>
              <w:rPr>
                <w:rFonts w:hint="eastAsia"/>
                <w:kern w:val="0"/>
                <w:sz w:val="20"/>
                <w:vertAlign w:val="superscript"/>
              </w:rPr>
              <w:t>3</w:t>
            </w:r>
            <w:r>
              <w:rPr>
                <w:rFonts w:hint="eastAsia"/>
                <w:kern w:val="0"/>
                <w:sz w:val="20"/>
              </w:rPr>
              <w:t>。</w:t>
            </w:r>
          </w:p>
          <w:p>
            <w:pPr>
              <w:tabs>
                <w:tab w:val="left" w:pos="268"/>
              </w:tabs>
              <w:overflowPunct w:val="0"/>
              <w:topLinePunct/>
              <w:spacing w:line="320" w:lineRule="exact"/>
              <w:jc w:val="left"/>
              <w:rPr>
                <w:kern w:val="0"/>
                <w:sz w:val="20"/>
              </w:rPr>
            </w:pPr>
            <w:r>
              <w:rPr>
                <w:rFonts w:hint="eastAsia"/>
                <w:kern w:val="0"/>
                <w:sz w:val="20"/>
                <w:lang w:val="en-US" w:eastAsia="zh-CN"/>
              </w:rPr>
              <w:t>6</w:t>
            </w:r>
            <w:r>
              <w:rPr>
                <w:rFonts w:hint="eastAsia"/>
                <w:kern w:val="0"/>
                <w:sz w:val="20"/>
              </w:rPr>
              <w:t>、氨逃逸排放浓度不高于8mg/m</w:t>
            </w:r>
            <w:r>
              <w:rPr>
                <w:rFonts w:hint="eastAsia"/>
                <w:kern w:val="0"/>
                <w:sz w:val="20"/>
                <w:vertAlign w:val="superscript"/>
              </w:rPr>
              <w:t>3</w:t>
            </w:r>
            <w:r>
              <w:rPr>
                <w:rFonts w:hint="eastAsia"/>
                <w:kern w:val="0"/>
                <w:sz w:val="20"/>
              </w:rPr>
              <w:t>（使用氨水、尿素作还原剂）。</w:t>
            </w:r>
          </w:p>
          <w:p>
            <w:pPr>
              <w:tabs>
                <w:tab w:val="left" w:pos="268"/>
              </w:tabs>
              <w:overflowPunct w:val="0"/>
              <w:topLinePunct/>
              <w:spacing w:line="320" w:lineRule="exact"/>
              <w:jc w:val="left"/>
              <w:rPr>
                <w:rFonts w:hint="eastAsia"/>
                <w:kern w:val="0"/>
                <w:sz w:val="20"/>
              </w:rPr>
            </w:pPr>
            <w:r>
              <w:rPr>
                <w:rFonts w:hint="eastAsia"/>
                <w:kern w:val="0"/>
                <w:sz w:val="20"/>
                <w:lang w:val="en-US" w:eastAsia="zh-CN"/>
              </w:rPr>
              <w:t>7</w:t>
            </w:r>
            <w:r>
              <w:rPr>
                <w:rFonts w:hint="eastAsia"/>
                <w:kern w:val="0"/>
                <w:sz w:val="20"/>
              </w:rPr>
              <w:t>、全厂其他工艺过程有组织PM、NMHC有组织排放浓度分别不高于10、20mg/m</w:t>
            </w:r>
            <w:r>
              <w:rPr>
                <w:rFonts w:hint="eastAsia"/>
                <w:kern w:val="0"/>
                <w:sz w:val="20"/>
                <w:vertAlign w:val="superscript"/>
              </w:rPr>
              <w:t>3</w:t>
            </w:r>
            <w:r>
              <w:rPr>
                <w:rFonts w:hint="eastAsia"/>
                <w:kern w:val="0"/>
                <w:sz w:val="20"/>
              </w:rPr>
              <w:t>。</w:t>
            </w:r>
          </w:p>
          <w:p>
            <w:pPr>
              <w:tabs>
                <w:tab w:val="left" w:pos="268"/>
              </w:tabs>
              <w:overflowPunct w:val="0"/>
              <w:topLinePunct/>
              <w:spacing w:line="320" w:lineRule="exact"/>
              <w:jc w:val="left"/>
              <w:rPr>
                <w:rFonts w:hint="eastAsia"/>
                <w:kern w:val="0"/>
                <w:sz w:val="20"/>
              </w:rPr>
            </w:pPr>
            <w:r>
              <w:rPr>
                <w:rFonts w:hint="eastAsia"/>
                <w:kern w:val="0"/>
                <w:sz w:val="20"/>
                <w:lang w:val="en-US" w:eastAsia="zh-CN"/>
              </w:rPr>
              <w:t>8、</w:t>
            </w:r>
            <w:r>
              <w:rPr>
                <w:rFonts w:hint="eastAsia"/>
                <w:kern w:val="0"/>
                <w:sz w:val="20"/>
              </w:rPr>
              <w:t>厂区内无组织排放监控点NMHC的1h平均浓度值不高于6mg/m</w:t>
            </w:r>
            <w:r>
              <w:rPr>
                <w:rFonts w:cs="Calibri"/>
                <w:kern w:val="0"/>
                <w:sz w:val="20"/>
              </w:rPr>
              <w:t>³</w:t>
            </w:r>
            <w:r>
              <w:rPr>
                <w:rFonts w:hint="eastAsia" w:cs="仿宋_GB2312"/>
                <w:kern w:val="0"/>
                <w:sz w:val="20"/>
              </w:rPr>
              <w:t>，监控点处任意一次浓度不高于</w:t>
            </w:r>
            <w:r>
              <w:rPr>
                <w:rFonts w:hint="eastAsia"/>
                <w:kern w:val="0"/>
                <w:sz w:val="20"/>
              </w:rPr>
              <w:t>20 mg/m</w:t>
            </w:r>
            <w:r>
              <w:rPr>
                <w:rFonts w:cs="Calibri"/>
                <w:kern w:val="0"/>
                <w:sz w:val="20"/>
              </w:rPr>
              <w:t>³</w:t>
            </w:r>
            <w:r>
              <w:rPr>
                <w:rFonts w:hint="eastAsia" w:cs="仿宋_GB2312"/>
                <w:kern w:val="0"/>
                <w:sz w:val="20"/>
              </w:rPr>
              <w:t>。</w:t>
            </w:r>
          </w:p>
          <w:p>
            <w:pPr>
              <w:tabs>
                <w:tab w:val="left" w:pos="268"/>
              </w:tabs>
              <w:overflowPunct w:val="0"/>
              <w:topLinePunct/>
              <w:spacing w:line="320" w:lineRule="exact"/>
              <w:jc w:val="left"/>
              <w:rPr>
                <w:rFonts w:hint="default" w:eastAsia="仿宋_GB2312"/>
                <w:kern w:val="0"/>
                <w:sz w:val="20"/>
                <w:lang w:val="en-US" w:eastAsia="zh-CN"/>
              </w:rPr>
            </w:pPr>
            <w:r>
              <w:rPr>
                <w:rFonts w:hint="eastAsia"/>
                <w:kern w:val="0"/>
                <w:sz w:val="20"/>
                <w:lang w:val="en-US" w:eastAsia="zh-CN"/>
              </w:rPr>
              <w:t>9</w:t>
            </w:r>
            <w:r>
              <w:rPr>
                <w:rFonts w:hint="eastAsia"/>
                <w:kern w:val="0"/>
                <w:sz w:val="20"/>
              </w:rPr>
              <w:t>、厂界PM无组织排放浓度不高于0.5 mg/m</w:t>
            </w:r>
            <w:r>
              <w:rPr>
                <w:rFonts w:hint="eastAsia"/>
                <w:kern w:val="0"/>
                <w:sz w:val="20"/>
                <w:vertAlign w:val="superscript"/>
              </w:rPr>
              <w:t>3</w:t>
            </w:r>
            <w:r>
              <w:rPr>
                <w:rFonts w:hint="eastAsia"/>
                <w:kern w:val="0"/>
                <w:sz w:val="20"/>
                <w:lang w:eastAsia="zh-CN"/>
              </w:rPr>
              <w:t>，厂界臭气排放浓度不高于</w:t>
            </w:r>
            <w:r>
              <w:rPr>
                <w:rFonts w:hint="eastAsia"/>
                <w:kern w:val="0"/>
                <w:sz w:val="20"/>
                <w:lang w:val="en-US" w:eastAsia="zh-CN"/>
              </w:rPr>
              <w:t>10。</w:t>
            </w:r>
          </w:p>
          <w:p>
            <w:pPr>
              <w:tabs>
                <w:tab w:val="left" w:pos="268"/>
              </w:tabs>
              <w:overflowPunct w:val="0"/>
              <w:topLinePunct/>
              <w:spacing w:line="320" w:lineRule="exact"/>
              <w:jc w:val="left"/>
              <w:rPr>
                <w:rFonts w:hint="eastAsia"/>
                <w:kern w:val="0"/>
                <w:sz w:val="20"/>
              </w:rPr>
            </w:pPr>
            <w:r>
              <w:rPr>
                <w:rFonts w:hint="eastAsia"/>
                <w:kern w:val="0"/>
                <w:sz w:val="20"/>
                <w:lang w:val="en-US" w:eastAsia="zh-CN"/>
              </w:rPr>
              <w:t>10</w:t>
            </w:r>
            <w:r>
              <w:rPr>
                <w:rFonts w:hint="eastAsia"/>
                <w:kern w:val="0"/>
                <w:sz w:val="20"/>
              </w:rPr>
              <w:t>、其他各项污染物稳定达到现行排放控制要求。</w:t>
            </w:r>
          </w:p>
          <w:p>
            <w:pPr>
              <w:tabs>
                <w:tab w:val="left" w:pos="268"/>
              </w:tabs>
              <w:overflowPunct w:val="0"/>
              <w:topLinePunct/>
              <w:spacing w:line="320" w:lineRule="exact"/>
              <w:jc w:val="left"/>
              <w:rPr>
                <w:rFonts w:hint="eastAsia"/>
                <w:kern w:val="0"/>
                <w:sz w:val="20"/>
              </w:rPr>
            </w:pPr>
            <w:r>
              <w:rPr>
                <w:rFonts w:hint="eastAsia"/>
                <w:kern w:val="0"/>
                <w:sz w:val="20"/>
              </w:rPr>
              <w:t>1</w:t>
            </w:r>
            <w:r>
              <w:rPr>
                <w:rFonts w:hint="eastAsia"/>
                <w:kern w:val="0"/>
                <w:sz w:val="20"/>
                <w:lang w:val="en-US" w:eastAsia="zh-CN"/>
              </w:rPr>
              <w:t>1</w:t>
            </w:r>
            <w:r>
              <w:rPr>
                <w:rFonts w:hint="eastAsia"/>
                <w:kern w:val="0"/>
                <w:sz w:val="20"/>
              </w:rPr>
              <w:t>、排放口各项污染物自动监测浓度，一年内稳定运行达标占比在95%以上（污染物小时均值）。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67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无组织管控</w:t>
            </w:r>
          </w:p>
        </w:tc>
        <w:tc>
          <w:tcPr>
            <w:tcW w:w="4329" w:type="pct"/>
            <w:tcBorders>
              <w:top w:val="single" w:color="auto" w:sz="4" w:space="0"/>
              <w:left w:val="single" w:color="auto" w:sz="4" w:space="0"/>
              <w:bottom w:val="single" w:color="auto" w:sz="4" w:space="0"/>
              <w:right w:val="single" w:color="auto" w:sz="4" w:space="0"/>
            </w:tcBorders>
          </w:tcPr>
          <w:p>
            <w:pPr>
              <w:tabs>
                <w:tab w:val="left" w:pos="268"/>
              </w:tabs>
              <w:overflowPunct w:val="0"/>
              <w:topLinePunct/>
              <w:spacing w:line="320" w:lineRule="exact"/>
              <w:jc w:val="left"/>
              <w:rPr>
                <w:rFonts w:hint="eastAsia"/>
                <w:kern w:val="0"/>
                <w:sz w:val="20"/>
              </w:rPr>
            </w:pPr>
            <w:r>
              <w:rPr>
                <w:rFonts w:hint="eastAsia"/>
                <w:kern w:val="0"/>
                <w:sz w:val="20"/>
              </w:rPr>
              <w:t>1、生产厂区内粉状、</w:t>
            </w:r>
            <w:r>
              <w:rPr>
                <w:rFonts w:hint="eastAsia"/>
                <w:kern w:val="0"/>
                <w:sz w:val="20"/>
                <w:lang w:eastAsia="zh-CN"/>
              </w:rPr>
              <w:t>粒状</w:t>
            </w:r>
            <w:r>
              <w:rPr>
                <w:rFonts w:hint="eastAsia"/>
                <w:kern w:val="0"/>
                <w:sz w:val="20"/>
              </w:rPr>
              <w:t>物料存于封闭的储存设施，通道口安装封闭性良好</w:t>
            </w:r>
            <w:r>
              <w:rPr>
                <w:rFonts w:hint="eastAsia"/>
                <w:kern w:val="0"/>
                <w:sz w:val="20"/>
                <w:lang w:eastAsia="zh-CN"/>
              </w:rPr>
              <w:t>的</w:t>
            </w:r>
            <w:r>
              <w:rPr>
                <w:rFonts w:hint="eastAsia"/>
                <w:kern w:val="0"/>
                <w:sz w:val="20"/>
              </w:rPr>
              <w:t>自动门，满足封闭要求。</w:t>
            </w:r>
          </w:p>
          <w:p>
            <w:pPr>
              <w:tabs>
                <w:tab w:val="left" w:pos="268"/>
              </w:tabs>
              <w:overflowPunct w:val="0"/>
              <w:topLinePunct/>
              <w:spacing w:line="320" w:lineRule="exact"/>
              <w:jc w:val="left"/>
              <w:rPr>
                <w:kern w:val="0"/>
                <w:sz w:val="20"/>
              </w:rPr>
            </w:pPr>
            <w:r>
              <w:rPr>
                <w:rFonts w:hint="eastAsia"/>
                <w:kern w:val="0"/>
                <w:sz w:val="20"/>
              </w:rPr>
              <w:t>2、所有液态物料采用密闭管道运输，固态物料采用封闭皮带运输。</w:t>
            </w:r>
          </w:p>
          <w:p>
            <w:pPr>
              <w:tabs>
                <w:tab w:val="left" w:pos="267"/>
              </w:tabs>
              <w:overflowPunct w:val="0"/>
              <w:topLinePunct/>
              <w:spacing w:line="320" w:lineRule="exact"/>
              <w:jc w:val="both"/>
              <w:rPr>
                <w:kern w:val="0"/>
                <w:sz w:val="20"/>
              </w:rPr>
            </w:pPr>
            <w:r>
              <w:rPr>
                <w:rFonts w:hint="eastAsia"/>
                <w:kern w:val="0"/>
                <w:sz w:val="20"/>
              </w:rPr>
              <w:t>3、VOCs物料存储于密闭的容器、包装袋、储罐、储库、料仓中；盛装VOCs物料的容器或包装袋存放于室内；盛装VOCs物料的容器或包装袋在非取用状态时应加盖、封口，保持密闭；所有涉VOCs物料密闭存储并收集处理。</w:t>
            </w:r>
          </w:p>
          <w:p>
            <w:pPr>
              <w:tabs>
                <w:tab w:val="left" w:pos="267"/>
              </w:tabs>
              <w:overflowPunct w:val="0"/>
              <w:topLinePunct/>
              <w:spacing w:line="320" w:lineRule="exact"/>
              <w:rPr>
                <w:kern w:val="0"/>
                <w:sz w:val="20"/>
              </w:rPr>
            </w:pPr>
            <w:r>
              <w:rPr>
                <w:rFonts w:hint="eastAsia"/>
                <w:kern w:val="0"/>
                <w:sz w:val="20"/>
              </w:rPr>
              <w:t>4、制浆造纸企业制浆工序备料、破碎环节等产尘工序应在封闭的厂房内进行，并安装集气设施和除尘设施，上料口、下料口等易产尘点安装集气设施和除尘设施。</w:t>
            </w:r>
          </w:p>
          <w:p>
            <w:pPr>
              <w:tabs>
                <w:tab w:val="left" w:pos="268"/>
              </w:tabs>
              <w:overflowPunct w:val="0"/>
              <w:topLinePunct/>
              <w:spacing w:line="320" w:lineRule="exact"/>
              <w:jc w:val="both"/>
              <w:rPr>
                <w:kern w:val="0"/>
                <w:sz w:val="20"/>
              </w:rPr>
            </w:pPr>
            <w:r>
              <w:rPr>
                <w:rFonts w:hint="eastAsia"/>
                <w:kern w:val="0"/>
                <w:sz w:val="20"/>
              </w:rPr>
              <w:t>5、涉VOCs工序采用在封闭厂房内操作；对于采用局部集气罩的，距集气罩开口面最远处的VOCs无组织排放位置，控制风速不低于0.3m/s。</w:t>
            </w:r>
          </w:p>
          <w:p>
            <w:pPr>
              <w:tabs>
                <w:tab w:val="left" w:pos="268"/>
              </w:tabs>
              <w:overflowPunct w:val="0"/>
              <w:topLinePunct/>
              <w:spacing w:line="320" w:lineRule="exact"/>
              <w:jc w:val="both"/>
              <w:rPr>
                <w:kern w:val="0"/>
                <w:sz w:val="20"/>
              </w:rPr>
            </w:pPr>
            <w:r>
              <w:rPr>
                <w:rFonts w:hint="eastAsia"/>
                <w:kern w:val="0"/>
                <w:sz w:val="20"/>
              </w:rPr>
              <w:t>6、废水液面需满足《挥发性有机物无组织排放控制标准》（GB</w:t>
            </w:r>
            <w:r>
              <w:rPr>
                <w:rFonts w:hint="eastAsia"/>
                <w:kern w:val="0"/>
                <w:sz w:val="20"/>
                <w:lang w:val="en-US" w:eastAsia="zh-CN"/>
              </w:rPr>
              <w:t xml:space="preserve"> </w:t>
            </w:r>
            <w:r>
              <w:rPr>
                <w:rFonts w:hint="eastAsia"/>
                <w:kern w:val="0"/>
                <w:sz w:val="20"/>
              </w:rPr>
              <w:t>37822-2019）特别排放控制要求，即对于工艺过程排放的含VOCs的废水，废水集输系统应符合下列规定之一：1）采用密闭管道运输，接入口和排出口采取与环境空气隔离的措施；2）采用沟渠输送，若敞开液面上方100mm处VOCs检测浓度≥100μmol/mol，应加盖密闭，接入口和排出口采取与环境空气隔离的措施。</w:t>
            </w:r>
          </w:p>
          <w:p>
            <w:pPr>
              <w:tabs>
                <w:tab w:val="left" w:pos="268"/>
              </w:tabs>
              <w:overflowPunct w:val="0"/>
              <w:topLinePunct/>
              <w:spacing w:line="320" w:lineRule="exact"/>
              <w:jc w:val="both"/>
              <w:rPr>
                <w:kern w:val="0"/>
                <w:sz w:val="20"/>
              </w:rPr>
            </w:pPr>
            <w:r>
              <w:rPr>
                <w:rFonts w:hint="eastAsia"/>
                <w:kern w:val="0"/>
                <w:sz w:val="20"/>
              </w:rPr>
              <w:t>7、含VOCs废水储存和处理设施敞开液面上方100 mm处VOCs检测浓度≥100μmol/mol，应符合下列规定之一：1）采用浮动顶盖；2）采用固定顶盖，收集废气至VOCs废气收集处理系统；3）其他等效措施。</w:t>
            </w:r>
          </w:p>
          <w:p>
            <w:pPr>
              <w:tabs>
                <w:tab w:val="left" w:pos="268"/>
              </w:tabs>
              <w:overflowPunct w:val="0"/>
              <w:topLinePunct/>
              <w:spacing w:line="320" w:lineRule="exact"/>
              <w:jc w:val="left"/>
              <w:rPr>
                <w:kern w:val="0"/>
                <w:sz w:val="20"/>
              </w:rPr>
            </w:pPr>
            <w:r>
              <w:rPr>
                <w:rFonts w:hint="eastAsia"/>
                <w:kern w:val="0"/>
                <w:sz w:val="20"/>
              </w:rPr>
              <w:t>8、厂内地面全部硬化或绿化，车间内规范、干净整洁，无散落物料。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67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监测监控水平</w:t>
            </w:r>
          </w:p>
        </w:tc>
        <w:tc>
          <w:tcPr>
            <w:tcW w:w="4329" w:type="pct"/>
            <w:tcBorders>
              <w:top w:val="single" w:color="auto" w:sz="4" w:space="0"/>
              <w:left w:val="single" w:color="auto" w:sz="4" w:space="0"/>
              <w:bottom w:val="single" w:color="auto" w:sz="4" w:space="0"/>
              <w:right w:val="single" w:color="auto" w:sz="4" w:space="0"/>
            </w:tcBorders>
          </w:tcPr>
          <w:p>
            <w:pPr>
              <w:tabs>
                <w:tab w:val="left" w:pos="267"/>
              </w:tabs>
              <w:overflowPunct w:val="0"/>
              <w:topLinePunct/>
              <w:spacing w:line="320" w:lineRule="exact"/>
              <w:rPr>
                <w:kern w:val="0"/>
                <w:sz w:val="20"/>
              </w:rPr>
            </w:pPr>
            <w:r>
              <w:rPr>
                <w:rFonts w:hint="eastAsia"/>
                <w:kern w:val="0"/>
                <w:sz w:val="20"/>
              </w:rPr>
              <w:t>1、重点排污单位及排污许可重点管理单位主要排</w:t>
            </w:r>
            <w:r>
              <w:rPr>
                <w:rFonts w:hint="eastAsia"/>
                <w:kern w:val="0"/>
                <w:sz w:val="20"/>
                <w:lang w:eastAsia="zh-CN"/>
              </w:rPr>
              <w:t>放</w:t>
            </w:r>
            <w:r>
              <w:rPr>
                <w:rFonts w:hint="eastAsia"/>
                <w:kern w:val="0"/>
                <w:sz w:val="20"/>
              </w:rPr>
              <w:t>口安装污染物排放自动监测设备（CEMS），并与生态环境主管部门的监控设备联网，数据保存一年以上（投产或安装时间不满一年的企业，以现有数据为准）。</w:t>
            </w:r>
          </w:p>
          <w:p>
            <w:pPr>
              <w:tabs>
                <w:tab w:val="left" w:pos="268"/>
              </w:tabs>
              <w:overflowPunct w:val="0"/>
              <w:topLinePunct/>
              <w:spacing w:line="320" w:lineRule="exact"/>
              <w:jc w:val="left"/>
              <w:rPr>
                <w:kern w:val="0"/>
                <w:sz w:val="20"/>
              </w:rPr>
            </w:pPr>
            <w:r>
              <w:rPr>
                <w:rFonts w:hint="eastAsia"/>
                <w:kern w:val="0"/>
                <w:sz w:val="20"/>
              </w:rPr>
              <w:t>2、按照排污许可证、行业自行监测指南或排污单位自行监测技术指南等相关要求开展自行监测。</w:t>
            </w:r>
          </w:p>
          <w:p>
            <w:pPr>
              <w:tabs>
                <w:tab w:val="left" w:pos="268"/>
              </w:tabs>
              <w:overflowPunct w:val="0"/>
              <w:topLinePunct/>
              <w:spacing w:line="320" w:lineRule="exact"/>
              <w:jc w:val="left"/>
              <w:rPr>
                <w:kern w:val="0"/>
                <w:sz w:val="20"/>
              </w:rPr>
            </w:pPr>
            <w:r>
              <w:rPr>
                <w:rFonts w:hint="eastAsia"/>
                <w:kern w:val="0"/>
                <w:sz w:val="20"/>
              </w:rPr>
              <w:t>3、企业主要环保设施及生产设施安装分布式控制系统（DCS）或可保存和查看历史数据的可编程控制系统（PLC），记录企业环保设施运行及相关生产过程主要参数。</w:t>
            </w:r>
          </w:p>
          <w:p>
            <w:pPr>
              <w:tabs>
                <w:tab w:val="left" w:pos="268"/>
              </w:tabs>
              <w:overflowPunct w:val="0"/>
              <w:topLinePunct/>
              <w:spacing w:line="320" w:lineRule="exact"/>
              <w:rPr>
                <w:kern w:val="0"/>
                <w:sz w:val="20"/>
              </w:rPr>
            </w:pPr>
            <w:r>
              <w:rPr>
                <w:rFonts w:hint="eastAsia"/>
                <w:kern w:val="0"/>
                <w:sz w:val="20"/>
              </w:rPr>
              <w:t>4、厂区货运进出口、</w:t>
            </w:r>
            <w:r>
              <w:rPr>
                <w:rFonts w:hint="eastAsia"/>
                <w:kern w:val="0"/>
                <w:sz w:val="20"/>
                <w:lang w:eastAsia="zh-CN"/>
              </w:rPr>
              <w:t>易产尘</w:t>
            </w:r>
            <w:r>
              <w:rPr>
                <w:rFonts w:hint="eastAsia"/>
                <w:kern w:val="0"/>
                <w:sz w:val="20"/>
              </w:rPr>
              <w:t>点安装高清视频监控系统，视频监控数据保存3个月以上。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67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环境管理水平</w:t>
            </w:r>
          </w:p>
        </w:tc>
        <w:tc>
          <w:tcPr>
            <w:tcW w:w="4329" w:type="pct"/>
            <w:tcBorders>
              <w:top w:val="single" w:color="auto" w:sz="4" w:space="0"/>
              <w:left w:val="single" w:color="auto" w:sz="4" w:space="0"/>
              <w:bottom w:val="single" w:color="auto" w:sz="4" w:space="0"/>
              <w:right w:val="single" w:color="auto" w:sz="4" w:space="0"/>
            </w:tcBorders>
          </w:tcPr>
          <w:p>
            <w:pPr>
              <w:tabs>
                <w:tab w:val="left" w:pos="268"/>
              </w:tabs>
              <w:overflowPunct w:val="0"/>
              <w:topLinePunct/>
              <w:spacing w:line="320" w:lineRule="exact"/>
              <w:jc w:val="left"/>
              <w:rPr>
                <w:kern w:val="0"/>
                <w:sz w:val="20"/>
              </w:rPr>
            </w:pPr>
            <w:r>
              <w:rPr>
                <w:rFonts w:hint="eastAsia"/>
                <w:kern w:val="0"/>
                <w:sz w:val="20"/>
              </w:rPr>
              <w:t>环保档案：1、环评批复文件和竣工环保验收文件或者环境现状评估备案证明；2、排污许可证或固定污染物源排污登记回执；3、环境管理制度（有组织、无组织排放长效管理机制，主要包括岗位责任制度、达标公示制度和定期巡查维护制度等）；4、废气治理设施运行管理规程；5、一年内废气监测报告。</w:t>
            </w:r>
          </w:p>
          <w:p>
            <w:pPr>
              <w:tabs>
                <w:tab w:val="left" w:pos="268"/>
              </w:tabs>
              <w:overflowPunct w:val="0"/>
              <w:topLinePunct/>
              <w:spacing w:line="320" w:lineRule="exact"/>
              <w:jc w:val="left"/>
              <w:rPr>
                <w:kern w:val="0"/>
                <w:sz w:val="20"/>
              </w:rPr>
            </w:pPr>
            <w:r>
              <w:rPr>
                <w:rFonts w:hint="eastAsia"/>
                <w:kern w:val="0"/>
                <w:sz w:val="20"/>
              </w:rPr>
              <w:t>台账记录：</w:t>
            </w:r>
            <w:r>
              <w:rPr>
                <w:rFonts w:hint="eastAsia" w:cs="宋体"/>
                <w:kern w:val="0"/>
                <w:sz w:val="20"/>
              </w:rPr>
              <w:t>①</w:t>
            </w:r>
            <w:r>
              <w:rPr>
                <w:rFonts w:hint="eastAsia"/>
                <w:kern w:val="0"/>
                <w:sz w:val="20"/>
              </w:rPr>
              <w:t>生产设施运行管理信息（生产时间、运行负荷、产品产量等；）</w:t>
            </w:r>
            <w:r>
              <w:rPr>
                <w:rFonts w:hint="eastAsia" w:cs="宋体"/>
                <w:kern w:val="0"/>
                <w:sz w:val="20"/>
              </w:rPr>
              <w:t>②</w:t>
            </w:r>
            <w:r>
              <w:rPr>
                <w:rFonts w:hint="eastAsia"/>
                <w:kern w:val="0"/>
                <w:sz w:val="20"/>
              </w:rPr>
              <w:t>废气污染治理设施运行管理信息；</w:t>
            </w:r>
            <w:r>
              <w:rPr>
                <w:rFonts w:hint="eastAsia" w:cs="宋体"/>
                <w:kern w:val="0"/>
                <w:sz w:val="20"/>
              </w:rPr>
              <w:t>③</w:t>
            </w:r>
            <w:r>
              <w:rPr>
                <w:rFonts w:hint="eastAsia"/>
                <w:kern w:val="0"/>
                <w:sz w:val="20"/>
              </w:rPr>
              <w:t>监测记录信息（主要污染排放口废气排放记录（手工监测和在线监测）等）；</w:t>
            </w:r>
            <w:r>
              <w:rPr>
                <w:rFonts w:hint="eastAsia" w:cs="宋体"/>
                <w:kern w:val="0"/>
                <w:sz w:val="20"/>
              </w:rPr>
              <w:t>④</w:t>
            </w:r>
            <w:r>
              <w:rPr>
                <w:rFonts w:hint="eastAsia"/>
                <w:kern w:val="0"/>
                <w:sz w:val="20"/>
              </w:rPr>
              <w:t>主要原辅材料消耗记录；</w:t>
            </w:r>
            <w:r>
              <w:rPr>
                <w:rFonts w:hint="eastAsia" w:cs="宋体"/>
                <w:kern w:val="0"/>
                <w:sz w:val="20"/>
              </w:rPr>
              <w:t>⑤</w:t>
            </w:r>
            <w:r>
              <w:rPr>
                <w:rFonts w:hint="eastAsia"/>
                <w:kern w:val="0"/>
                <w:sz w:val="20"/>
              </w:rPr>
              <w:t>燃料消耗记录；</w:t>
            </w:r>
            <w:r>
              <w:rPr>
                <w:rFonts w:hint="eastAsia" w:cs="宋体"/>
                <w:kern w:val="0"/>
                <w:sz w:val="20"/>
              </w:rPr>
              <w:t>⑥</w:t>
            </w:r>
            <w:r>
              <w:rPr>
                <w:rFonts w:hint="eastAsia"/>
                <w:kern w:val="0"/>
                <w:sz w:val="20"/>
              </w:rPr>
              <w:t>一般固废、危废处置记录。</w:t>
            </w:r>
          </w:p>
          <w:p>
            <w:pPr>
              <w:tabs>
                <w:tab w:val="left" w:pos="268"/>
              </w:tabs>
              <w:overflowPunct w:val="0"/>
              <w:topLinePunct/>
              <w:spacing w:line="320" w:lineRule="exact"/>
              <w:jc w:val="left"/>
              <w:rPr>
                <w:kern w:val="0"/>
                <w:sz w:val="20"/>
              </w:rPr>
            </w:pPr>
            <w:r>
              <w:rPr>
                <w:rFonts w:hint="eastAsia"/>
                <w:kern w:val="0"/>
                <w:sz w:val="20"/>
              </w:rPr>
              <w:t>3、人员配置：配备专职环保人员，并具备相应的环境管理能力（学历、培训、从业经验等）。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67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运输方式</w:t>
            </w:r>
          </w:p>
        </w:tc>
        <w:tc>
          <w:tcPr>
            <w:tcW w:w="4329" w:type="pct"/>
            <w:tcBorders>
              <w:top w:val="single" w:color="auto" w:sz="4" w:space="0"/>
              <w:left w:val="single" w:color="auto" w:sz="4" w:space="0"/>
              <w:bottom w:val="single" w:color="auto" w:sz="4" w:space="0"/>
              <w:right w:val="single" w:color="auto" w:sz="4" w:space="0"/>
            </w:tcBorders>
          </w:tcPr>
          <w:p>
            <w:pPr>
              <w:tabs>
                <w:tab w:val="left" w:pos="268"/>
              </w:tabs>
              <w:overflowPunct w:val="0"/>
              <w:topLinePunct/>
              <w:spacing w:line="320" w:lineRule="exact"/>
              <w:jc w:val="left"/>
              <w:rPr>
                <w:kern w:val="0"/>
                <w:sz w:val="20"/>
              </w:rPr>
            </w:pPr>
            <w:r>
              <w:rPr>
                <w:rFonts w:hint="eastAsia"/>
                <w:kern w:val="0"/>
                <w:sz w:val="20"/>
              </w:rPr>
              <w:t>1、物料、产品运输全部使用国五及以上</w:t>
            </w:r>
            <w:r>
              <w:rPr>
                <w:rFonts w:hint="eastAsia"/>
                <w:kern w:val="0"/>
                <w:sz w:val="20"/>
                <w:lang w:eastAsia="zh-CN"/>
              </w:rPr>
              <w:t>排放标准</w:t>
            </w:r>
            <w:r>
              <w:rPr>
                <w:rFonts w:hint="eastAsia"/>
                <w:kern w:val="0"/>
                <w:sz w:val="20"/>
              </w:rPr>
              <w:t>重型载货车辆（含燃气）或其他清洁运输方式。</w:t>
            </w:r>
          </w:p>
          <w:p>
            <w:pPr>
              <w:tabs>
                <w:tab w:val="left" w:pos="268"/>
              </w:tabs>
              <w:overflowPunct w:val="0"/>
              <w:topLinePunct/>
              <w:spacing w:line="320" w:lineRule="exact"/>
              <w:jc w:val="left"/>
              <w:rPr>
                <w:kern w:val="0"/>
                <w:sz w:val="20"/>
              </w:rPr>
            </w:pPr>
            <w:r>
              <w:rPr>
                <w:rFonts w:hint="eastAsia"/>
                <w:kern w:val="0"/>
                <w:sz w:val="20"/>
              </w:rPr>
              <w:t>2、厂区车辆全部达</w:t>
            </w:r>
            <w:r>
              <w:rPr>
                <w:rFonts w:hint="eastAsia"/>
                <w:kern w:val="0"/>
                <w:sz w:val="20"/>
                <w:lang w:eastAsia="zh-CN"/>
              </w:rPr>
              <w:t>到</w:t>
            </w:r>
            <w:r>
              <w:rPr>
                <w:rFonts w:hint="eastAsia"/>
                <w:kern w:val="0"/>
                <w:sz w:val="20"/>
              </w:rPr>
              <w:t>国五及以上或使用新能源车辆。</w:t>
            </w:r>
          </w:p>
          <w:p>
            <w:pPr>
              <w:tabs>
                <w:tab w:val="left" w:pos="268"/>
              </w:tabs>
              <w:overflowPunct w:val="0"/>
              <w:topLinePunct/>
              <w:spacing w:line="320" w:lineRule="exact"/>
              <w:rPr>
                <w:kern w:val="0"/>
                <w:sz w:val="20"/>
              </w:rPr>
            </w:pPr>
            <w:r>
              <w:rPr>
                <w:rFonts w:hint="eastAsia"/>
                <w:kern w:val="0"/>
                <w:sz w:val="20"/>
              </w:rPr>
              <w:t>3、厂内非道路移动机械</w:t>
            </w:r>
            <w:r>
              <w:rPr>
                <w:rFonts w:hint="eastAsia"/>
                <w:kern w:val="0"/>
                <w:sz w:val="20"/>
                <w:lang w:eastAsia="zh-CN"/>
              </w:rPr>
              <w:t>全部</w:t>
            </w:r>
            <w:r>
              <w:rPr>
                <w:rFonts w:hint="eastAsia"/>
                <w:kern w:val="0"/>
                <w:sz w:val="20"/>
              </w:rPr>
              <w:t>达到国三及以上标准或使用新能源机械。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67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运输监管</w:t>
            </w:r>
          </w:p>
        </w:tc>
        <w:tc>
          <w:tcPr>
            <w:tcW w:w="4329" w:type="pct"/>
            <w:tcBorders>
              <w:top w:val="single" w:color="auto" w:sz="4" w:space="0"/>
              <w:left w:val="single" w:color="auto" w:sz="4" w:space="0"/>
              <w:bottom w:val="single" w:color="auto" w:sz="4" w:space="0"/>
              <w:right w:val="single" w:color="auto" w:sz="4" w:space="0"/>
            </w:tcBorders>
          </w:tcPr>
          <w:p>
            <w:pPr>
              <w:tabs>
                <w:tab w:val="left" w:pos="268"/>
              </w:tabs>
              <w:overflowPunct w:val="0"/>
              <w:topLinePunct/>
              <w:spacing w:line="320" w:lineRule="exact"/>
              <w:rPr>
                <w:kern w:val="0"/>
                <w:sz w:val="20"/>
              </w:rPr>
            </w:pPr>
            <w:r>
              <w:rPr>
                <w:rFonts w:hint="eastAsia"/>
                <w:kern w:val="0"/>
                <w:sz w:val="20"/>
                <w:lang w:eastAsia="zh-CN"/>
              </w:rPr>
              <w:t>建立门禁系统和电子台账，创建要求参照《重点行业移动源监管与核查技术指南》（</w:t>
            </w:r>
            <w:r>
              <w:rPr>
                <w:rFonts w:hint="eastAsia"/>
                <w:kern w:val="0"/>
                <w:sz w:val="20"/>
                <w:lang w:val="en-US" w:eastAsia="zh-CN"/>
              </w:rPr>
              <w:t>HJ 1321</w:t>
            </w:r>
            <w:r>
              <w:rPr>
                <w:rFonts w:hint="eastAsia"/>
                <w:kern w:val="0"/>
                <w:sz w:val="20"/>
                <w:lang w:eastAsia="zh-CN"/>
              </w:rPr>
              <w:t>）</w:t>
            </w: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67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备注</w:t>
            </w:r>
          </w:p>
        </w:tc>
        <w:tc>
          <w:tcPr>
            <w:tcW w:w="4329" w:type="pct"/>
            <w:tcBorders>
              <w:top w:val="single" w:color="auto" w:sz="4" w:space="0"/>
              <w:left w:val="single" w:color="auto" w:sz="4" w:space="0"/>
              <w:bottom w:val="single" w:color="auto" w:sz="4" w:space="0"/>
              <w:right w:val="single" w:color="auto" w:sz="4" w:space="0"/>
            </w:tcBorders>
          </w:tcPr>
          <w:p>
            <w:pPr>
              <w:tabs>
                <w:tab w:val="left" w:pos="268"/>
              </w:tabs>
              <w:overflowPunct w:val="0"/>
              <w:topLinePunct/>
              <w:spacing w:line="320" w:lineRule="exact"/>
              <w:jc w:val="left"/>
              <w:rPr>
                <w:kern w:val="0"/>
                <w:sz w:val="20"/>
              </w:rPr>
            </w:pPr>
            <w:r>
              <w:rPr>
                <w:rFonts w:hint="eastAsia"/>
                <w:kern w:val="0"/>
                <w:sz w:val="20"/>
              </w:rPr>
              <w:t>备注</w:t>
            </w:r>
            <w:r>
              <w:rPr>
                <w:rFonts w:hint="eastAsia"/>
                <w:kern w:val="0"/>
                <w:sz w:val="20"/>
                <w:vertAlign w:val="superscript"/>
              </w:rPr>
              <w:t>【1】</w:t>
            </w:r>
            <w:r>
              <w:rPr>
                <w:rFonts w:hint="eastAsia"/>
                <w:kern w:val="0"/>
                <w:sz w:val="20"/>
              </w:rPr>
              <w:t>：</w:t>
            </w:r>
            <w:r>
              <w:rPr>
                <w:rFonts w:hint="eastAsia"/>
                <w:kern w:val="0"/>
                <w:sz w:val="20"/>
                <w:lang w:eastAsia="zh-CN"/>
              </w:rPr>
              <w:t>电锅炉、</w:t>
            </w:r>
            <w:r>
              <w:rPr>
                <w:rFonts w:hint="eastAsia"/>
                <w:kern w:val="0"/>
                <w:sz w:val="20"/>
              </w:rPr>
              <w:t>燃气锅炉在PM稳定达到排放限值情况下可不采用除尘工艺。</w:t>
            </w:r>
          </w:p>
          <w:p>
            <w:pPr>
              <w:tabs>
                <w:tab w:val="left" w:pos="268"/>
              </w:tabs>
              <w:overflowPunct w:val="0"/>
              <w:topLinePunct/>
              <w:spacing w:line="320" w:lineRule="exact"/>
              <w:jc w:val="left"/>
              <w:rPr>
                <w:rFonts w:hint="eastAsia"/>
                <w:kern w:val="0"/>
                <w:sz w:val="20"/>
              </w:rPr>
            </w:pPr>
            <w:r>
              <w:rPr>
                <w:rFonts w:hint="eastAsia"/>
                <w:kern w:val="0"/>
                <w:sz w:val="20"/>
              </w:rPr>
              <w:t>备注</w:t>
            </w:r>
            <w:r>
              <w:rPr>
                <w:rFonts w:hint="eastAsia"/>
                <w:kern w:val="0"/>
                <w:sz w:val="20"/>
                <w:vertAlign w:val="superscript"/>
              </w:rPr>
              <w:t>【2】</w:t>
            </w:r>
            <w:r>
              <w:rPr>
                <w:rFonts w:hint="eastAsia"/>
                <w:kern w:val="0"/>
                <w:sz w:val="20"/>
              </w:rPr>
              <w:t>：燃煤锅炉适用。</w:t>
            </w:r>
          </w:p>
          <w:p>
            <w:pPr>
              <w:tabs>
                <w:tab w:val="left" w:pos="268"/>
              </w:tabs>
              <w:overflowPunct w:val="0"/>
              <w:topLinePunct/>
              <w:spacing w:line="320" w:lineRule="exact"/>
              <w:jc w:val="left"/>
              <w:rPr>
                <w:kern w:val="0"/>
                <w:sz w:val="20"/>
              </w:rPr>
            </w:pPr>
            <w:r>
              <w:rPr>
                <w:rFonts w:hint="eastAsia"/>
                <w:kern w:val="0"/>
                <w:sz w:val="20"/>
              </w:rPr>
              <w:t>备注：其他标准排放限值严于本指南要求的，</w:t>
            </w:r>
            <w:r>
              <w:rPr>
                <w:rFonts w:hint="eastAsia"/>
                <w:kern w:val="0"/>
                <w:sz w:val="20"/>
                <w:lang w:eastAsia="zh-CN"/>
              </w:rPr>
              <w:t>从严执行</w:t>
            </w:r>
            <w:r>
              <w:rPr>
                <w:rFonts w:hint="eastAsia"/>
                <w:kern w:val="0"/>
                <w:sz w:val="20"/>
              </w:rPr>
              <w:t>。</w:t>
            </w:r>
          </w:p>
        </w:tc>
      </w:tr>
    </w:tbl>
    <w:p>
      <w:pPr>
        <w:overflowPunct w:val="0"/>
        <w:topLinePunct/>
        <w:spacing w:line="360" w:lineRule="auto"/>
        <w:rPr>
          <w:sz w:val="28"/>
          <w:szCs w:val="28"/>
        </w:rPr>
        <w:sectPr>
          <w:headerReference r:id="rId39" w:type="default"/>
          <w:footerReference r:id="rId41" w:type="default"/>
          <w:headerReference r:id="rId40" w:type="even"/>
          <w:footerReference r:id="rId42" w:type="even"/>
          <w:pgSz w:w="16838" w:h="11906" w:orient="landscape"/>
          <w:pgMar w:top="1588" w:right="2098" w:bottom="1474" w:left="1247" w:header="851" w:footer="992" w:gutter="0"/>
          <w:cols w:space="720" w:num="1"/>
          <w:docGrid w:type="lines" w:linePitch="312" w:charSpace="0"/>
        </w:sectPr>
      </w:pPr>
    </w:p>
    <w:p>
      <w:pPr>
        <w:overflowPunct w:val="0"/>
        <w:topLinePunct/>
        <w:spacing w:line="500" w:lineRule="exact"/>
        <w:ind w:firstLine="576" w:firstLineChars="200"/>
        <w:outlineLvl w:val="2"/>
        <w:rPr>
          <w:rFonts w:eastAsia="楷体_GB2312"/>
          <w:kern w:val="0"/>
          <w:sz w:val="30"/>
          <w:szCs w:val="30"/>
        </w:rPr>
      </w:pPr>
      <w:bookmarkStart w:id="65" w:name="_Toc121413351"/>
      <w:bookmarkStart w:id="66" w:name="_Toc28136"/>
      <w:r>
        <w:rPr>
          <w:rFonts w:eastAsia="楷体_GB2312"/>
          <w:kern w:val="0"/>
          <w:sz w:val="30"/>
          <w:szCs w:val="30"/>
        </w:rPr>
        <w:t>（五）减排措施</w:t>
      </w:r>
      <w:bookmarkEnd w:id="65"/>
      <w:bookmarkEnd w:id="66"/>
    </w:p>
    <w:p>
      <w:pPr>
        <w:overflowPunct w:val="0"/>
        <w:topLinePunct/>
        <w:spacing w:line="500" w:lineRule="exact"/>
        <w:ind w:firstLine="576" w:firstLineChars="200"/>
        <w:rPr>
          <w:sz w:val="30"/>
          <w:szCs w:val="30"/>
        </w:rPr>
      </w:pPr>
      <w:r>
        <w:rPr>
          <w:sz w:val="30"/>
          <w:szCs w:val="30"/>
        </w:rPr>
        <w:t>1、引领性企业</w:t>
      </w:r>
    </w:p>
    <w:p>
      <w:pPr>
        <w:overflowPunct w:val="0"/>
        <w:topLinePunct/>
        <w:spacing w:line="500" w:lineRule="exact"/>
        <w:ind w:firstLine="576" w:firstLineChars="200"/>
        <w:rPr>
          <w:sz w:val="30"/>
          <w:szCs w:val="30"/>
        </w:rPr>
      </w:pPr>
      <w:r>
        <w:rPr>
          <w:sz w:val="30"/>
          <w:szCs w:val="30"/>
        </w:rPr>
        <w:t>鼓励结合实际，自主采取减排措施。</w:t>
      </w:r>
    </w:p>
    <w:p>
      <w:pPr>
        <w:overflowPunct w:val="0"/>
        <w:topLinePunct/>
        <w:spacing w:line="500" w:lineRule="exact"/>
        <w:ind w:firstLine="576" w:firstLineChars="200"/>
        <w:rPr>
          <w:sz w:val="30"/>
          <w:szCs w:val="30"/>
        </w:rPr>
      </w:pPr>
      <w:r>
        <w:rPr>
          <w:sz w:val="30"/>
          <w:szCs w:val="30"/>
        </w:rPr>
        <w:t>2、非引领性企业</w:t>
      </w:r>
    </w:p>
    <w:p>
      <w:pPr>
        <w:overflowPunct w:val="0"/>
        <w:topLinePunct/>
        <w:spacing w:line="500" w:lineRule="exact"/>
        <w:ind w:firstLine="576" w:firstLineChars="200"/>
        <w:rPr>
          <w:sz w:val="30"/>
          <w:szCs w:val="30"/>
        </w:rPr>
      </w:pPr>
      <w:r>
        <w:rPr>
          <w:sz w:val="30"/>
          <w:szCs w:val="30"/>
        </w:rPr>
        <w:t>黄色预警期间：停止使用国四及以下重型载货车辆（含燃气）进行物料运输</w:t>
      </w:r>
      <w:r>
        <w:rPr>
          <w:rFonts w:hint="eastAsia"/>
          <w:sz w:val="30"/>
          <w:szCs w:val="30"/>
          <w:lang w:eastAsia="zh-CN"/>
        </w:rPr>
        <w:t>；停止使用国三以下非道路移动机械</w:t>
      </w:r>
      <w:r>
        <w:rPr>
          <w:sz w:val="30"/>
          <w:szCs w:val="30"/>
        </w:rPr>
        <w:t>。</w:t>
      </w:r>
    </w:p>
    <w:p>
      <w:pPr>
        <w:overflowPunct w:val="0"/>
        <w:topLinePunct/>
        <w:spacing w:line="500" w:lineRule="exact"/>
        <w:ind w:firstLine="576" w:firstLineChars="200"/>
        <w:rPr>
          <w:sz w:val="30"/>
          <w:szCs w:val="30"/>
        </w:rPr>
      </w:pPr>
      <w:r>
        <w:rPr>
          <w:rFonts w:hint="eastAsia"/>
          <w:sz w:val="30"/>
          <w:szCs w:val="30"/>
        </w:rPr>
        <w:t>橙色及以上</w:t>
      </w:r>
      <w:r>
        <w:rPr>
          <w:sz w:val="30"/>
          <w:szCs w:val="30"/>
        </w:rPr>
        <w:t>预警期间：停产；停止公路运输。</w:t>
      </w:r>
    </w:p>
    <w:p>
      <w:pPr>
        <w:overflowPunct w:val="0"/>
        <w:topLinePunct/>
        <w:spacing w:line="500" w:lineRule="exact"/>
        <w:ind w:firstLine="576" w:firstLineChars="200"/>
        <w:rPr>
          <w:sz w:val="30"/>
          <w:szCs w:val="30"/>
        </w:rPr>
      </w:pPr>
      <w:r>
        <w:rPr>
          <w:rFonts w:hint="eastAsia"/>
          <w:sz w:val="30"/>
          <w:szCs w:val="30"/>
          <w:lang w:val="en-US" w:eastAsia="zh-CN"/>
        </w:rPr>
        <w:t>3、</w:t>
      </w:r>
      <w:r>
        <w:rPr>
          <w:sz w:val="30"/>
          <w:szCs w:val="30"/>
        </w:rPr>
        <w:t>备注：</w:t>
      </w:r>
    </w:p>
    <w:p>
      <w:pPr>
        <w:overflowPunct w:val="0"/>
        <w:topLinePunct/>
        <w:spacing w:line="500" w:lineRule="exact"/>
        <w:ind w:firstLine="576" w:firstLineChars="200"/>
        <w:rPr>
          <w:sz w:val="28"/>
          <w:szCs w:val="28"/>
        </w:rPr>
      </w:pPr>
      <w:r>
        <w:rPr>
          <w:sz w:val="30"/>
          <w:szCs w:val="30"/>
        </w:rPr>
        <w:t>针对连续生产等短时间内难以停产的企业，建议在重污染频发的秋冬季期间，提前调整生产计划，确保企业能够有效落实应急减排措施。有条件的城市可以结合实际采取区域统筹的方式，实行轮流停产减排。</w:t>
      </w:r>
    </w:p>
    <w:p>
      <w:pPr>
        <w:overflowPunct w:val="0"/>
        <w:topLinePunct/>
        <w:spacing w:line="500" w:lineRule="exact"/>
        <w:ind w:firstLine="576" w:firstLineChars="200"/>
        <w:outlineLvl w:val="2"/>
        <w:rPr>
          <w:rFonts w:eastAsia="楷体_GB2312"/>
          <w:kern w:val="0"/>
          <w:sz w:val="30"/>
          <w:szCs w:val="30"/>
        </w:rPr>
      </w:pPr>
      <w:bookmarkStart w:id="67" w:name="_Toc22630"/>
      <w:bookmarkStart w:id="68" w:name="_Toc121413352"/>
      <w:r>
        <w:rPr>
          <w:rFonts w:eastAsia="楷体_GB2312"/>
          <w:kern w:val="0"/>
          <w:sz w:val="30"/>
          <w:szCs w:val="30"/>
        </w:rPr>
        <w:t>（六）核查方法</w:t>
      </w:r>
      <w:bookmarkEnd w:id="67"/>
      <w:bookmarkEnd w:id="68"/>
    </w:p>
    <w:p>
      <w:pPr>
        <w:overflowPunct w:val="0"/>
        <w:topLinePunct/>
        <w:spacing w:line="500" w:lineRule="exact"/>
        <w:ind w:firstLine="576" w:firstLineChars="200"/>
        <w:rPr>
          <w:sz w:val="30"/>
          <w:szCs w:val="30"/>
        </w:rPr>
      </w:pPr>
      <w:r>
        <w:rPr>
          <w:sz w:val="30"/>
          <w:szCs w:val="30"/>
        </w:rPr>
        <w:t>1、电量分析：调取企业用电量情况，</w:t>
      </w:r>
      <w:r>
        <w:rPr>
          <w:rFonts w:hint="eastAsia"/>
          <w:sz w:val="30"/>
          <w:szCs w:val="30"/>
          <w:lang w:eastAsia="zh-CN"/>
        </w:rPr>
        <w:t>分析历史预警前后</w:t>
      </w:r>
      <w:r>
        <w:rPr>
          <w:sz w:val="30"/>
          <w:szCs w:val="30"/>
        </w:rPr>
        <w:t>企业用电量变化，比对采取减排措施期间的用电量</w:t>
      </w:r>
      <w:r>
        <w:rPr>
          <w:spacing w:val="0"/>
          <w:sz w:val="30"/>
          <w:szCs w:val="30"/>
        </w:rPr>
        <w:t>是否</w:t>
      </w:r>
      <w:r>
        <w:rPr>
          <w:rFonts w:hint="eastAsia"/>
          <w:spacing w:val="0"/>
          <w:sz w:val="30"/>
          <w:szCs w:val="30"/>
          <w:lang w:eastAsia="zh-CN"/>
        </w:rPr>
        <w:t>明显</w:t>
      </w:r>
      <w:r>
        <w:rPr>
          <w:spacing w:val="0"/>
          <w:sz w:val="30"/>
          <w:szCs w:val="30"/>
        </w:rPr>
        <w:t>下降</w:t>
      </w:r>
      <w:r>
        <w:rPr>
          <w:rFonts w:hint="eastAsia"/>
          <w:sz w:val="30"/>
          <w:szCs w:val="30"/>
        </w:rPr>
        <w:t>。</w:t>
      </w:r>
    </w:p>
    <w:p>
      <w:pPr>
        <w:overflowPunct w:val="0"/>
        <w:topLinePunct/>
        <w:spacing w:line="500" w:lineRule="exact"/>
        <w:ind w:firstLine="576" w:firstLineChars="200"/>
        <w:rPr>
          <w:sz w:val="30"/>
          <w:szCs w:val="30"/>
        </w:rPr>
      </w:pPr>
      <w:r>
        <w:rPr>
          <w:sz w:val="30"/>
          <w:szCs w:val="30"/>
        </w:rPr>
        <w:t>2、现场核查：重点核查企业备料、涂布、碱回收、石灰窑、锅炉等设施的停产停运情况，核查污染治理设施的运行稳定性</w:t>
      </w:r>
      <w:r>
        <w:rPr>
          <w:rFonts w:hint="eastAsia"/>
          <w:sz w:val="30"/>
          <w:szCs w:val="30"/>
        </w:rPr>
        <w:t>。</w:t>
      </w:r>
    </w:p>
    <w:p>
      <w:pPr>
        <w:overflowPunct w:val="0"/>
        <w:topLinePunct/>
        <w:spacing w:line="500" w:lineRule="exact"/>
        <w:ind w:firstLine="576" w:firstLineChars="200"/>
        <w:rPr>
          <w:sz w:val="30"/>
          <w:szCs w:val="30"/>
        </w:rPr>
      </w:pPr>
      <w:r>
        <w:rPr>
          <w:sz w:val="30"/>
          <w:szCs w:val="30"/>
        </w:rPr>
        <w:t>3、台账核查：重点核查生产设施开停机记录表；核查企业生产台账记录。</w:t>
      </w:r>
    </w:p>
    <w:p>
      <w:pPr>
        <w:overflowPunct w:val="0"/>
        <w:topLinePunct/>
        <w:spacing w:line="500" w:lineRule="exact"/>
        <w:ind w:firstLine="576" w:firstLineChars="200"/>
        <w:rPr>
          <w:sz w:val="30"/>
          <w:szCs w:val="30"/>
        </w:rPr>
      </w:pPr>
      <w:r>
        <w:rPr>
          <w:sz w:val="30"/>
          <w:szCs w:val="30"/>
        </w:rPr>
        <w:t>4、运输核查：</w:t>
      </w:r>
      <w:r>
        <w:rPr>
          <w:spacing w:val="0"/>
          <w:sz w:val="30"/>
          <w:szCs w:val="30"/>
        </w:rPr>
        <w:t>调取厂区</w:t>
      </w:r>
      <w:r>
        <w:rPr>
          <w:sz w:val="30"/>
          <w:szCs w:val="30"/>
        </w:rPr>
        <w:t>货运进出口视频监控</w:t>
      </w:r>
      <w:r>
        <w:rPr>
          <w:spacing w:val="0"/>
          <w:sz w:val="30"/>
          <w:szCs w:val="30"/>
        </w:rPr>
        <w:t>记录，比对预警前后厂区</w:t>
      </w:r>
      <w:r>
        <w:rPr>
          <w:rFonts w:hint="eastAsia"/>
          <w:spacing w:val="0"/>
          <w:sz w:val="30"/>
          <w:szCs w:val="30"/>
          <w:lang w:eastAsia="zh-CN"/>
        </w:rPr>
        <w:t>汽车运输情况，检查</w:t>
      </w:r>
      <w:r>
        <w:rPr>
          <w:spacing w:val="0"/>
          <w:sz w:val="30"/>
          <w:szCs w:val="30"/>
        </w:rPr>
        <w:t>是否符合要求；现场抽查</w:t>
      </w:r>
      <w:r>
        <w:rPr>
          <w:rFonts w:hint="eastAsia"/>
          <w:spacing w:val="0"/>
          <w:sz w:val="30"/>
          <w:szCs w:val="30"/>
          <w:lang w:eastAsia="zh-CN"/>
        </w:rPr>
        <w:t>运输</w:t>
      </w:r>
      <w:r>
        <w:rPr>
          <w:spacing w:val="0"/>
          <w:sz w:val="30"/>
          <w:szCs w:val="30"/>
        </w:rPr>
        <w:t>车辆</w:t>
      </w:r>
      <w:r>
        <w:rPr>
          <w:rFonts w:hint="eastAsia"/>
          <w:spacing w:val="0"/>
          <w:sz w:val="30"/>
          <w:szCs w:val="30"/>
          <w:lang w:eastAsia="zh-CN"/>
        </w:rPr>
        <w:t>，</w:t>
      </w:r>
      <w:r>
        <w:rPr>
          <w:spacing w:val="0"/>
          <w:sz w:val="30"/>
          <w:szCs w:val="30"/>
        </w:rPr>
        <w:t>核查排放</w:t>
      </w:r>
      <w:r>
        <w:rPr>
          <w:rFonts w:hint="eastAsia"/>
          <w:spacing w:val="0"/>
          <w:sz w:val="30"/>
          <w:szCs w:val="30"/>
          <w:lang w:eastAsia="zh-CN"/>
        </w:rPr>
        <w:t>标准</w:t>
      </w:r>
      <w:r>
        <w:rPr>
          <w:spacing w:val="0"/>
          <w:sz w:val="30"/>
          <w:szCs w:val="30"/>
        </w:rPr>
        <w:t>是否符合要求。</w:t>
      </w:r>
    </w:p>
    <w:p>
      <w:pPr>
        <w:overflowPunct w:val="0"/>
        <w:topLinePunct/>
        <w:spacing w:line="500" w:lineRule="exact"/>
        <w:ind w:firstLine="576" w:firstLineChars="200"/>
        <w:outlineLvl w:val="1"/>
        <w:rPr>
          <w:rFonts w:eastAsia="黑体"/>
          <w:kern w:val="0"/>
          <w:sz w:val="30"/>
          <w:szCs w:val="30"/>
        </w:rPr>
      </w:pPr>
      <w:bookmarkStart w:id="69" w:name="_Toc30061"/>
      <w:bookmarkStart w:id="70" w:name="_Toc121413353"/>
      <w:r>
        <w:rPr>
          <w:rFonts w:eastAsia="黑体"/>
          <w:kern w:val="0"/>
          <w:sz w:val="30"/>
          <w:szCs w:val="30"/>
        </w:rPr>
        <w:t>六、沥青混合料搅拌站</w:t>
      </w:r>
      <w:bookmarkEnd w:id="69"/>
      <w:bookmarkEnd w:id="70"/>
    </w:p>
    <w:p>
      <w:pPr>
        <w:overflowPunct w:val="0"/>
        <w:topLinePunct/>
        <w:spacing w:line="500" w:lineRule="exact"/>
        <w:ind w:firstLine="576" w:firstLineChars="200"/>
        <w:outlineLvl w:val="2"/>
        <w:rPr>
          <w:rFonts w:eastAsia="楷体_GB2312"/>
          <w:kern w:val="0"/>
          <w:sz w:val="30"/>
          <w:szCs w:val="30"/>
        </w:rPr>
      </w:pPr>
      <w:bookmarkStart w:id="71" w:name="_Toc6977"/>
      <w:bookmarkStart w:id="72" w:name="_Toc121413354"/>
      <w:r>
        <w:rPr>
          <w:rFonts w:eastAsia="楷体_GB2312"/>
          <w:kern w:val="0"/>
          <w:sz w:val="30"/>
          <w:szCs w:val="30"/>
        </w:rPr>
        <w:t>（一）适用范围</w:t>
      </w:r>
      <w:bookmarkEnd w:id="71"/>
      <w:bookmarkEnd w:id="72"/>
    </w:p>
    <w:p>
      <w:pPr>
        <w:tabs>
          <w:tab w:val="left" w:pos="1737"/>
        </w:tabs>
        <w:overflowPunct w:val="0"/>
        <w:topLinePunct/>
        <w:spacing w:line="500" w:lineRule="exact"/>
        <w:ind w:firstLine="600" w:firstLineChars="200"/>
        <w:rPr>
          <w:rFonts w:eastAsia="等线"/>
          <w:spacing w:val="0"/>
          <w:sz w:val="28"/>
          <w:szCs w:val="28"/>
        </w:rPr>
      </w:pPr>
      <w:r>
        <w:rPr>
          <w:spacing w:val="0"/>
          <w:sz w:val="30"/>
          <w:szCs w:val="30"/>
        </w:rPr>
        <w:t>沥青混合料搅拌站</w:t>
      </w:r>
    </w:p>
    <w:p>
      <w:pPr>
        <w:overflowPunct w:val="0"/>
        <w:topLinePunct/>
        <w:spacing w:line="500" w:lineRule="exact"/>
        <w:ind w:firstLine="576" w:firstLineChars="200"/>
        <w:outlineLvl w:val="2"/>
        <w:rPr>
          <w:rFonts w:eastAsia="楷体_GB2312"/>
          <w:kern w:val="0"/>
          <w:sz w:val="30"/>
          <w:szCs w:val="30"/>
        </w:rPr>
      </w:pPr>
      <w:bookmarkStart w:id="73" w:name="_Toc15286"/>
      <w:bookmarkStart w:id="74" w:name="_Toc121413355"/>
      <w:r>
        <w:rPr>
          <w:rFonts w:eastAsia="楷体_GB2312"/>
          <w:kern w:val="0"/>
          <w:sz w:val="30"/>
          <w:szCs w:val="30"/>
        </w:rPr>
        <w:t>（二）生产工艺</w:t>
      </w:r>
      <w:bookmarkEnd w:id="73"/>
      <w:bookmarkEnd w:id="74"/>
    </w:p>
    <w:p>
      <w:pPr>
        <w:overflowPunct w:val="0"/>
        <w:topLinePunct/>
        <w:spacing w:line="500" w:lineRule="exact"/>
        <w:ind w:firstLine="576" w:firstLineChars="200"/>
        <w:rPr>
          <w:sz w:val="30"/>
          <w:szCs w:val="30"/>
        </w:rPr>
      </w:pPr>
      <w:r>
        <w:rPr>
          <w:sz w:val="30"/>
          <w:szCs w:val="30"/>
        </w:rPr>
        <w:t>主要生产工艺：配料、加热、搅拌、出料等。</w:t>
      </w:r>
    </w:p>
    <w:p>
      <w:pPr>
        <w:overflowPunct w:val="0"/>
        <w:topLinePunct/>
        <w:spacing w:line="500" w:lineRule="exact"/>
        <w:ind w:firstLine="576" w:firstLineChars="200"/>
        <w:rPr>
          <w:sz w:val="30"/>
          <w:szCs w:val="30"/>
        </w:rPr>
      </w:pPr>
      <w:r>
        <w:rPr>
          <w:sz w:val="30"/>
          <w:szCs w:val="30"/>
        </w:rPr>
        <w:t>主要原辅材料：沥青、砂石、矿粉等。</w:t>
      </w:r>
    </w:p>
    <w:p>
      <w:pPr>
        <w:overflowPunct w:val="0"/>
        <w:topLinePunct/>
        <w:spacing w:line="500" w:lineRule="exact"/>
        <w:ind w:firstLine="576" w:firstLineChars="200"/>
        <w:rPr>
          <w:rFonts w:eastAsia="宋体"/>
          <w:sz w:val="28"/>
          <w:szCs w:val="28"/>
        </w:rPr>
      </w:pPr>
      <w:r>
        <w:rPr>
          <w:sz w:val="30"/>
          <w:szCs w:val="30"/>
        </w:rPr>
        <w:t>主要能源：天然气、电、燃油等。</w:t>
      </w:r>
    </w:p>
    <w:p>
      <w:pPr>
        <w:overflowPunct w:val="0"/>
        <w:topLinePunct/>
        <w:spacing w:line="500" w:lineRule="exact"/>
        <w:ind w:firstLine="576" w:firstLineChars="200"/>
        <w:outlineLvl w:val="2"/>
        <w:rPr>
          <w:rFonts w:eastAsia="楷体_GB2312"/>
          <w:kern w:val="0"/>
          <w:sz w:val="30"/>
          <w:szCs w:val="30"/>
        </w:rPr>
      </w:pPr>
      <w:bookmarkStart w:id="75" w:name="_Toc121413356"/>
      <w:bookmarkStart w:id="76" w:name="_Toc19061"/>
      <w:r>
        <w:rPr>
          <w:rFonts w:eastAsia="楷体_GB2312"/>
          <w:kern w:val="0"/>
          <w:sz w:val="30"/>
          <w:szCs w:val="30"/>
        </w:rPr>
        <w:t>（三）主要污染物产排环节</w:t>
      </w:r>
      <w:bookmarkEnd w:id="75"/>
      <w:bookmarkEnd w:id="76"/>
    </w:p>
    <w:p>
      <w:pPr>
        <w:overflowPunct w:val="0"/>
        <w:topLinePunct/>
        <w:spacing w:line="500" w:lineRule="exact"/>
        <w:ind w:firstLine="576" w:firstLineChars="200"/>
        <w:rPr>
          <w:sz w:val="30"/>
          <w:szCs w:val="30"/>
        </w:rPr>
      </w:pPr>
      <w:r>
        <w:rPr>
          <w:sz w:val="30"/>
          <w:szCs w:val="30"/>
        </w:rPr>
        <w:t>1、</w:t>
      </w:r>
      <w:r>
        <w:rPr>
          <w:rFonts w:hint="eastAsia"/>
          <w:sz w:val="30"/>
          <w:szCs w:val="30"/>
        </w:rPr>
        <w:t>颗粒物（</w:t>
      </w:r>
      <w:r>
        <w:rPr>
          <w:sz w:val="30"/>
          <w:szCs w:val="30"/>
        </w:rPr>
        <w:t>PM</w:t>
      </w:r>
      <w:r>
        <w:rPr>
          <w:rFonts w:hint="eastAsia"/>
          <w:sz w:val="30"/>
          <w:szCs w:val="30"/>
        </w:rPr>
        <w:t>）</w:t>
      </w:r>
      <w:r>
        <w:rPr>
          <w:sz w:val="30"/>
          <w:szCs w:val="30"/>
        </w:rPr>
        <w:t>：主要来自砂石配料、输送、加热、提升、筛分及沥青混合料搅拌等过程。</w:t>
      </w:r>
    </w:p>
    <w:p>
      <w:pPr>
        <w:overflowPunct w:val="0"/>
        <w:topLinePunct/>
        <w:spacing w:line="500" w:lineRule="exact"/>
        <w:ind w:firstLine="576" w:firstLineChars="200"/>
        <w:rPr>
          <w:sz w:val="30"/>
          <w:szCs w:val="30"/>
        </w:rPr>
      </w:pPr>
      <w:r>
        <w:rPr>
          <w:sz w:val="30"/>
          <w:szCs w:val="30"/>
        </w:rPr>
        <w:t>2、</w:t>
      </w:r>
      <w:r>
        <w:rPr>
          <w:rFonts w:hint="eastAsia"/>
          <w:sz w:val="30"/>
          <w:szCs w:val="30"/>
        </w:rPr>
        <w:t>挥发性有机物（</w:t>
      </w:r>
      <w:r>
        <w:rPr>
          <w:sz w:val="30"/>
          <w:szCs w:val="30"/>
        </w:rPr>
        <w:t>VOCs</w:t>
      </w:r>
      <w:r>
        <w:rPr>
          <w:rFonts w:hint="eastAsia"/>
          <w:sz w:val="30"/>
          <w:szCs w:val="30"/>
        </w:rPr>
        <w:t>）</w:t>
      </w:r>
      <w:r>
        <w:rPr>
          <w:sz w:val="30"/>
          <w:szCs w:val="30"/>
        </w:rPr>
        <w:t>：主要来自沥青加热、保温、热储过程。</w:t>
      </w:r>
    </w:p>
    <w:p>
      <w:pPr>
        <w:overflowPunct w:val="0"/>
        <w:topLinePunct/>
        <w:spacing w:line="500" w:lineRule="exact"/>
        <w:ind w:firstLine="576" w:firstLineChars="200"/>
        <w:rPr>
          <w:sz w:val="30"/>
          <w:szCs w:val="30"/>
        </w:rPr>
        <w:sectPr>
          <w:headerReference r:id="rId43" w:type="default"/>
          <w:footerReference r:id="rId45" w:type="default"/>
          <w:headerReference r:id="rId44" w:type="even"/>
          <w:footerReference r:id="rId46" w:type="even"/>
          <w:pgSz w:w="11910" w:h="16840"/>
          <w:pgMar w:top="2098" w:right="1474" w:bottom="1247" w:left="1588" w:header="851" w:footer="992" w:gutter="0"/>
          <w:cols w:space="720" w:num="1"/>
        </w:sectPr>
      </w:pPr>
      <w:r>
        <w:rPr>
          <w:sz w:val="30"/>
          <w:szCs w:val="30"/>
        </w:rPr>
        <w:t>3、沥青烟：沥青储存、保温、加热、沥青混合料搅拌、储存和卸料装车以及运输的过程中，逸散大量的沥青烟气。沥青烟气含粉尘、氮氧化物、硫氧化物、挥发性有机物（多环芳烃（PAHs），包括苯并芘（BaP）等多种强致癌物质）。</w:t>
      </w:r>
    </w:p>
    <w:p>
      <w:pPr>
        <w:overflowPunct w:val="0"/>
        <w:topLinePunct/>
        <w:spacing w:line="360" w:lineRule="auto"/>
        <w:jc w:val="left"/>
        <w:outlineLvl w:val="2"/>
        <w:rPr>
          <w:rFonts w:eastAsia="楷体_GB2312"/>
          <w:kern w:val="0"/>
          <w:sz w:val="30"/>
          <w:szCs w:val="30"/>
        </w:rPr>
      </w:pPr>
      <w:bookmarkStart w:id="77" w:name="_Toc7183"/>
      <w:bookmarkStart w:id="78" w:name="_Toc121413357"/>
      <w:r>
        <w:rPr>
          <w:rFonts w:eastAsia="楷体_GB2312"/>
          <w:kern w:val="0"/>
          <w:sz w:val="30"/>
          <w:szCs w:val="30"/>
        </w:rPr>
        <w:t>（四）绩效分级指标</w:t>
      </w:r>
      <w:bookmarkEnd w:id="77"/>
      <w:bookmarkEnd w:id="78"/>
    </w:p>
    <w:p>
      <w:pPr>
        <w:overflowPunct w:val="0"/>
        <w:topLinePunct/>
        <w:jc w:val="center"/>
        <w:rPr>
          <w:rFonts w:eastAsia="黑体"/>
          <w:kern w:val="0"/>
          <w:sz w:val="24"/>
          <w:szCs w:val="24"/>
        </w:rPr>
      </w:pPr>
      <w:r>
        <w:rPr>
          <w:rFonts w:eastAsia="黑体"/>
          <w:kern w:val="0"/>
          <w:sz w:val="24"/>
          <w:szCs w:val="24"/>
        </w:rPr>
        <w:t>表6-1  沥青混合料搅拌站企业绩效分级指标</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09"/>
        <w:gridCol w:w="4716"/>
        <w:gridCol w:w="4548"/>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blHeader/>
        </w:trPr>
        <w:tc>
          <w:tcPr>
            <w:tcW w:w="52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hint="default" w:eastAsia="黑体"/>
                <w:kern w:val="0"/>
                <w:sz w:val="21"/>
                <w:szCs w:val="21"/>
              </w:rPr>
            </w:pPr>
            <w:r>
              <w:rPr>
                <w:rFonts w:hint="default" w:eastAsia="黑体"/>
                <w:kern w:val="0"/>
                <w:sz w:val="21"/>
                <w:szCs w:val="21"/>
              </w:rPr>
              <w:t>差异化指标</w:t>
            </w:r>
          </w:p>
        </w:tc>
        <w:tc>
          <w:tcPr>
            <w:tcW w:w="174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hint="default" w:eastAsia="黑体"/>
                <w:kern w:val="0"/>
                <w:sz w:val="21"/>
                <w:szCs w:val="21"/>
              </w:rPr>
            </w:pPr>
            <w:r>
              <w:rPr>
                <w:rFonts w:hint="default" w:eastAsia="黑体"/>
                <w:kern w:val="0"/>
                <w:sz w:val="21"/>
                <w:szCs w:val="21"/>
              </w:rPr>
              <w:t>A级企业</w:t>
            </w:r>
          </w:p>
        </w:tc>
        <w:tc>
          <w:tcPr>
            <w:tcW w:w="167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hint="default" w:eastAsia="黑体"/>
                <w:kern w:val="0"/>
                <w:sz w:val="21"/>
                <w:szCs w:val="21"/>
              </w:rPr>
            </w:pPr>
            <w:r>
              <w:rPr>
                <w:rFonts w:hint="default" w:eastAsia="黑体"/>
                <w:kern w:val="0"/>
                <w:sz w:val="21"/>
                <w:szCs w:val="21"/>
              </w:rPr>
              <w:t>B级企业</w:t>
            </w:r>
          </w:p>
        </w:tc>
        <w:tc>
          <w:tcPr>
            <w:tcW w:w="1062"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hint="default" w:eastAsia="黑体"/>
                <w:kern w:val="0"/>
                <w:sz w:val="21"/>
                <w:szCs w:val="21"/>
              </w:rPr>
            </w:pPr>
            <w:r>
              <w:rPr>
                <w:rFonts w:hint="default" w:eastAsia="黑体"/>
                <w:kern w:val="0"/>
                <w:sz w:val="21"/>
                <w:szCs w:val="21"/>
              </w:rPr>
              <w:t>C级企业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2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能源类型</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使用电、天然气等能源。</w:t>
            </w:r>
          </w:p>
        </w:tc>
        <w:tc>
          <w:tcPr>
            <w:tcW w:w="1062"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2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污染治理技术</w:t>
            </w:r>
          </w:p>
        </w:tc>
        <w:tc>
          <w:tcPr>
            <w:tcW w:w="174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1、</w:t>
            </w:r>
            <w:r>
              <w:rPr>
                <w:rFonts w:hint="eastAsia"/>
                <w:kern w:val="0"/>
                <w:sz w:val="20"/>
                <w:lang w:eastAsia="zh-CN"/>
              </w:rPr>
              <w:t>生产</w:t>
            </w:r>
            <w:r>
              <w:rPr>
                <w:rFonts w:hint="eastAsia"/>
                <w:kern w:val="0"/>
                <w:sz w:val="20"/>
              </w:rPr>
              <w:t>工艺</w:t>
            </w:r>
            <w:r>
              <w:rPr>
                <w:rFonts w:hint="eastAsia"/>
                <w:kern w:val="0"/>
                <w:sz w:val="20"/>
                <w:lang w:eastAsia="zh-CN"/>
              </w:rPr>
              <w:t>、</w:t>
            </w:r>
            <w:r>
              <w:rPr>
                <w:rFonts w:hint="eastAsia"/>
                <w:kern w:val="0"/>
                <w:sz w:val="20"/>
              </w:rPr>
              <w:t>沥青槽及沥青储罐</w:t>
            </w:r>
            <w:r>
              <w:rPr>
                <w:rFonts w:hint="eastAsia"/>
                <w:kern w:val="0"/>
                <w:sz w:val="20"/>
                <w:lang w:eastAsia="zh-CN"/>
              </w:rPr>
              <w:t>等</w:t>
            </w:r>
            <w:r>
              <w:rPr>
                <w:rFonts w:hint="eastAsia"/>
                <w:kern w:val="0"/>
                <w:sz w:val="20"/>
              </w:rPr>
              <w:t>有机废气全部密闭收集后，采用洗涤、喷淋、高压静电捕集</w:t>
            </w:r>
            <w:r>
              <w:rPr>
                <w:rFonts w:hint="eastAsia"/>
                <w:kern w:val="0"/>
                <w:sz w:val="20"/>
                <w:lang w:eastAsia="zh-CN"/>
              </w:rPr>
              <w:t>后</w:t>
            </w:r>
            <w:r>
              <w:rPr>
                <w:rFonts w:hint="eastAsia"/>
                <w:kern w:val="0"/>
                <w:sz w:val="20"/>
              </w:rPr>
              <w:t>，采用燃烧工艺进行处理或引至锅炉燃烧处理。</w:t>
            </w:r>
          </w:p>
          <w:p>
            <w:pPr>
              <w:overflowPunct w:val="0"/>
              <w:topLinePunct/>
              <w:spacing w:line="320" w:lineRule="exact"/>
              <w:rPr>
                <w:kern w:val="0"/>
                <w:sz w:val="20"/>
              </w:rPr>
            </w:pPr>
            <w:r>
              <w:rPr>
                <w:rFonts w:hint="eastAsia"/>
                <w:kern w:val="0"/>
                <w:sz w:val="20"/>
              </w:rPr>
              <w:t>2、PM治理采用覆膜袋式、滤筒、湿电等高效除尘技术（除湿电除尘外，设计除尘效率不低于99%）。</w:t>
            </w:r>
          </w:p>
          <w:p>
            <w:pPr>
              <w:overflowPunct w:val="0"/>
              <w:topLinePunct/>
              <w:spacing w:line="320" w:lineRule="exact"/>
              <w:rPr>
                <w:kern w:val="0"/>
                <w:sz w:val="20"/>
              </w:rPr>
            </w:pPr>
            <w:r>
              <w:rPr>
                <w:rFonts w:hint="eastAsia"/>
                <w:kern w:val="0"/>
                <w:sz w:val="20"/>
              </w:rPr>
              <w:t>3、燃气锅炉（导热油炉）采用低氮燃烧技术。</w:t>
            </w:r>
          </w:p>
        </w:tc>
        <w:tc>
          <w:tcPr>
            <w:tcW w:w="167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1、</w:t>
            </w:r>
            <w:r>
              <w:rPr>
                <w:rFonts w:hint="eastAsia"/>
                <w:kern w:val="0"/>
                <w:sz w:val="20"/>
                <w:lang w:eastAsia="zh-CN"/>
              </w:rPr>
              <w:t>生产</w:t>
            </w:r>
            <w:r>
              <w:rPr>
                <w:rFonts w:hint="eastAsia"/>
                <w:kern w:val="0"/>
                <w:sz w:val="20"/>
              </w:rPr>
              <w:t>工艺</w:t>
            </w:r>
            <w:r>
              <w:rPr>
                <w:rFonts w:hint="eastAsia"/>
                <w:kern w:val="0"/>
                <w:sz w:val="20"/>
                <w:lang w:eastAsia="zh-CN"/>
              </w:rPr>
              <w:t>、</w:t>
            </w:r>
            <w:r>
              <w:rPr>
                <w:rFonts w:hint="eastAsia"/>
                <w:kern w:val="0"/>
                <w:sz w:val="20"/>
              </w:rPr>
              <w:t>沥青槽及沥青储罐</w:t>
            </w:r>
            <w:r>
              <w:rPr>
                <w:rFonts w:hint="eastAsia"/>
                <w:kern w:val="0"/>
                <w:sz w:val="20"/>
                <w:lang w:eastAsia="zh-CN"/>
              </w:rPr>
              <w:t>等</w:t>
            </w:r>
            <w:r>
              <w:rPr>
                <w:rFonts w:hint="eastAsia"/>
                <w:kern w:val="0"/>
                <w:sz w:val="20"/>
              </w:rPr>
              <w:t>有机废气全部密闭收集后，采用洗涤、喷淋、高压静电捕集</w:t>
            </w:r>
            <w:r>
              <w:rPr>
                <w:rFonts w:hint="eastAsia"/>
                <w:kern w:val="0"/>
                <w:sz w:val="20"/>
                <w:lang w:eastAsia="zh-CN"/>
              </w:rPr>
              <w:t>后，采用</w:t>
            </w:r>
            <w:r>
              <w:rPr>
                <w:rFonts w:hint="eastAsia"/>
                <w:kern w:val="0"/>
                <w:sz w:val="20"/>
              </w:rPr>
              <w:t>吸附或燃烧工艺进行处理。</w:t>
            </w:r>
          </w:p>
          <w:p>
            <w:pPr>
              <w:overflowPunct w:val="0"/>
              <w:topLinePunct/>
              <w:spacing w:line="320" w:lineRule="exact"/>
              <w:rPr>
                <w:kern w:val="0"/>
                <w:sz w:val="20"/>
              </w:rPr>
            </w:pPr>
            <w:r>
              <w:rPr>
                <w:rFonts w:hint="eastAsia"/>
                <w:kern w:val="0"/>
                <w:sz w:val="20"/>
              </w:rPr>
              <w:t>2、PM采用袋式除尘、静电除尘等高效除尘技术治理。</w:t>
            </w:r>
          </w:p>
          <w:p>
            <w:pPr>
              <w:overflowPunct w:val="0"/>
              <w:topLinePunct/>
              <w:spacing w:line="320" w:lineRule="exact"/>
              <w:rPr>
                <w:kern w:val="0"/>
                <w:sz w:val="20"/>
              </w:rPr>
            </w:pPr>
            <w:r>
              <w:rPr>
                <w:rFonts w:hint="eastAsia"/>
                <w:kern w:val="0"/>
                <w:sz w:val="20"/>
              </w:rPr>
              <w:t>3、同A级第</w:t>
            </w:r>
            <w:r>
              <w:rPr>
                <w:rFonts w:hint="eastAsia"/>
                <w:kern w:val="0"/>
                <w:sz w:val="20"/>
                <w:lang w:val="en-US" w:eastAsia="zh-CN"/>
              </w:rPr>
              <w:t>3</w:t>
            </w:r>
            <w:r>
              <w:rPr>
                <w:rFonts w:hint="eastAsia"/>
                <w:kern w:val="0"/>
                <w:sz w:val="20"/>
              </w:rPr>
              <w:t>条要求。</w:t>
            </w:r>
          </w:p>
        </w:tc>
        <w:tc>
          <w:tcPr>
            <w:tcW w:w="1062"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20"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无组织管控</w:t>
            </w:r>
          </w:p>
        </w:tc>
        <w:tc>
          <w:tcPr>
            <w:tcW w:w="174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spacing w:val="0"/>
                <w:sz w:val="20"/>
              </w:rPr>
            </w:pPr>
            <w:r>
              <w:rPr>
                <w:rFonts w:hint="eastAsia"/>
                <w:spacing w:val="0"/>
                <w:sz w:val="20"/>
              </w:rPr>
              <w:t>1、所有物料（包括原辅料、半成品、成品）采用料仓、储罐、料库等方式封闭储存；沥青储罐设置在厂房内，储罐呼吸孔废气收集后引至VOCs处理设施。</w:t>
            </w:r>
          </w:p>
        </w:tc>
        <w:tc>
          <w:tcPr>
            <w:tcW w:w="1678"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rPr>
                <w:kern w:val="0"/>
                <w:sz w:val="20"/>
              </w:rPr>
            </w:pPr>
            <w:r>
              <w:rPr>
                <w:rFonts w:hint="eastAsia"/>
                <w:kern w:val="0"/>
                <w:sz w:val="20"/>
              </w:rPr>
              <w:t>1、所有物料（包括原辅料、半成品、成品）采用料仓、储罐、料库等方式封闭储存；沥青储罐呼吸孔废气收集后引至VOCs处理设施。</w:t>
            </w:r>
          </w:p>
        </w:tc>
        <w:tc>
          <w:tcPr>
            <w:tcW w:w="1062"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520" w:type="pct"/>
            <w:vMerge w:val="continue"/>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rPr>
                <w:rFonts w:eastAsia="黑体"/>
                <w:kern w:val="0"/>
                <w:sz w:val="20"/>
              </w:rPr>
            </w:pPr>
          </w:p>
        </w:tc>
        <w:tc>
          <w:tcPr>
            <w:tcW w:w="3418"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rPr>
                <w:kern w:val="0"/>
                <w:sz w:val="20"/>
              </w:rPr>
            </w:pPr>
            <w:r>
              <w:rPr>
                <w:rFonts w:hint="eastAsia"/>
                <w:kern w:val="0"/>
                <w:sz w:val="20"/>
                <w:lang w:val="en-MY"/>
              </w:rPr>
              <w:t>2、</w:t>
            </w:r>
            <w:r>
              <w:rPr>
                <w:rFonts w:hint="eastAsia"/>
                <w:kern w:val="0"/>
                <w:sz w:val="20"/>
              </w:rPr>
              <w:t>乳化沥青、彩色沥青、改性沥青等副产品生产场所应设置在密闭厂房内；密闭搅拌，且废气密闭收集后排至废气处理设施。</w:t>
            </w:r>
          </w:p>
          <w:p>
            <w:pPr>
              <w:tabs>
                <w:tab w:val="left" w:pos="267"/>
              </w:tabs>
              <w:overflowPunct w:val="0"/>
              <w:topLinePunct/>
              <w:spacing w:line="320" w:lineRule="exact"/>
              <w:rPr>
                <w:kern w:val="0"/>
                <w:sz w:val="20"/>
              </w:rPr>
            </w:pPr>
            <w:r>
              <w:rPr>
                <w:rFonts w:hint="eastAsia"/>
                <w:kern w:val="0"/>
                <w:sz w:val="20"/>
              </w:rPr>
              <w:t>3、所有散状物料运输采用密闭皮带、密闭廊道、管状带式输送机或密闭车厢、真空罐车、气力输送等密闭方式；沥青运输、储存、装卸、加热、改性等过程密闭，沥青采用密闭管道输送投加，配备沥青加料自动联锁系统；沥青卸料经密闭管道卸至卸油池，卸油池加装废气收集及处理设施。</w:t>
            </w:r>
          </w:p>
          <w:p>
            <w:pPr>
              <w:tabs>
                <w:tab w:val="left" w:pos="267"/>
              </w:tabs>
              <w:overflowPunct w:val="0"/>
              <w:topLinePunct/>
              <w:spacing w:line="320" w:lineRule="exact"/>
              <w:rPr>
                <w:kern w:val="0"/>
                <w:sz w:val="20"/>
              </w:rPr>
            </w:pPr>
            <w:r>
              <w:rPr>
                <w:rFonts w:hint="eastAsia"/>
                <w:kern w:val="0"/>
                <w:sz w:val="20"/>
              </w:rPr>
              <w:t>4、各物料破碎、搅拌、转载、下料口、卸料装车等设置集尘罩并配备袋式除尘器；搅拌机皮带跌落点等设置集尘罩并配套袋式除尘器，不得有明显粉尘逸散；卸沥青槽密闭，沥青槽及沥青储罐废气负压引至废气收集处理系统；熟料密闭输送。</w:t>
            </w:r>
          </w:p>
          <w:p>
            <w:pPr>
              <w:tabs>
                <w:tab w:val="left" w:pos="267"/>
              </w:tabs>
              <w:overflowPunct w:val="0"/>
              <w:topLinePunct/>
              <w:spacing w:line="320" w:lineRule="exact"/>
              <w:rPr>
                <w:kern w:val="0"/>
                <w:sz w:val="20"/>
              </w:rPr>
            </w:pPr>
            <w:r>
              <w:rPr>
                <w:rFonts w:hint="eastAsia"/>
                <w:kern w:val="0"/>
                <w:sz w:val="20"/>
              </w:rPr>
              <w:t>5、沥青混合料搅拌楼需二次封闭并将粉料储罐封闭在内，沥青混合料搅拌机、搅拌楼配套安装沥青烟气收集及处理设施；沥青混合料成品装车处封闭，配套安装沥青烟气收集及处理设施。</w:t>
            </w:r>
          </w:p>
          <w:p>
            <w:pPr>
              <w:tabs>
                <w:tab w:val="left" w:pos="267"/>
              </w:tabs>
              <w:overflowPunct w:val="0"/>
              <w:topLinePunct/>
              <w:spacing w:line="320" w:lineRule="exact"/>
              <w:rPr>
                <w:kern w:val="0"/>
                <w:sz w:val="20"/>
              </w:rPr>
            </w:pPr>
            <w:r>
              <w:rPr>
                <w:rFonts w:hint="eastAsia"/>
                <w:kern w:val="0"/>
                <w:sz w:val="20"/>
              </w:rPr>
              <w:t>6、除尘器卸灰口不直接卸落至地面，卸灰区域封闭</w:t>
            </w:r>
            <w:r>
              <w:rPr>
                <w:rFonts w:hint="eastAsia"/>
                <w:kern w:val="0"/>
                <w:sz w:val="20"/>
                <w:lang w:eastAsia="zh-CN"/>
              </w:rPr>
              <w:t>，</w:t>
            </w:r>
            <w:r>
              <w:rPr>
                <w:rFonts w:hint="eastAsia"/>
                <w:kern w:val="0"/>
                <w:sz w:val="20"/>
              </w:rPr>
              <w:t>除尘灰应采用气力输送、密闭罐车、</w:t>
            </w:r>
            <w:r>
              <w:rPr>
                <w:rFonts w:hint="eastAsia"/>
                <w:kern w:val="0"/>
                <w:sz w:val="20"/>
                <w:lang w:eastAsia="zh-CN"/>
              </w:rPr>
              <w:t>覆膜</w:t>
            </w:r>
            <w:r>
              <w:rPr>
                <w:rFonts w:hint="eastAsia"/>
                <w:kern w:val="0"/>
                <w:sz w:val="20"/>
              </w:rPr>
              <w:t>吨袋等密闭方式运输。</w:t>
            </w:r>
          </w:p>
          <w:p>
            <w:pPr>
              <w:tabs>
                <w:tab w:val="left" w:pos="267"/>
              </w:tabs>
              <w:overflowPunct w:val="0"/>
              <w:topLinePunct/>
              <w:spacing w:line="320" w:lineRule="exact"/>
              <w:rPr>
                <w:kern w:val="0"/>
                <w:sz w:val="20"/>
              </w:rPr>
            </w:pPr>
            <w:r>
              <w:rPr>
                <w:rFonts w:hint="eastAsia"/>
                <w:kern w:val="0"/>
                <w:sz w:val="20"/>
              </w:rPr>
              <w:t>7、物料全部封闭储存</w:t>
            </w:r>
            <w:r>
              <w:rPr>
                <w:rFonts w:hint="eastAsia"/>
                <w:kern w:val="0"/>
                <w:sz w:val="20"/>
                <w:lang w:eastAsia="zh-CN"/>
              </w:rPr>
              <w:t>，</w:t>
            </w:r>
            <w:r>
              <w:rPr>
                <w:rFonts w:hint="eastAsia"/>
                <w:kern w:val="0"/>
                <w:sz w:val="20"/>
              </w:rPr>
              <w:t>料棚配备喷雾抑尘设施，出入口配备自动门，在确保安全的情况下，所有门窗保持常闭状态。</w:t>
            </w:r>
          </w:p>
          <w:p>
            <w:pPr>
              <w:tabs>
                <w:tab w:val="left" w:pos="267"/>
              </w:tabs>
              <w:overflowPunct w:val="0"/>
              <w:topLinePunct/>
              <w:spacing w:line="320" w:lineRule="exact"/>
              <w:rPr>
                <w:kern w:val="0"/>
                <w:sz w:val="20"/>
              </w:rPr>
            </w:pPr>
            <w:r>
              <w:rPr>
                <w:rFonts w:hint="eastAsia"/>
                <w:kern w:val="0"/>
                <w:sz w:val="20"/>
              </w:rPr>
              <w:t>8、</w:t>
            </w:r>
            <w:r>
              <w:rPr>
                <w:rFonts w:hint="eastAsia"/>
                <w:kern w:val="0"/>
                <w:sz w:val="20"/>
                <w:lang w:eastAsia="zh-CN"/>
              </w:rPr>
              <w:t>厂区</w:t>
            </w:r>
            <w:r>
              <w:rPr>
                <w:rFonts w:hint="eastAsia"/>
                <w:kern w:val="0"/>
                <w:sz w:val="20"/>
              </w:rPr>
              <w:t>出口配备</w:t>
            </w:r>
            <w:r>
              <w:rPr>
                <w:rFonts w:hint="eastAsia"/>
                <w:kern w:val="0"/>
                <w:sz w:val="20"/>
                <w:lang w:eastAsia="zh-CN"/>
              </w:rPr>
              <w:t>自动感应式</w:t>
            </w:r>
            <w:r>
              <w:rPr>
                <w:rFonts w:hint="eastAsia"/>
                <w:kern w:val="0"/>
                <w:sz w:val="20"/>
              </w:rPr>
              <w:t>高压清洗装置</w:t>
            </w:r>
            <w:r>
              <w:rPr>
                <w:rFonts w:hint="eastAsia"/>
                <w:kern w:val="0"/>
                <w:sz w:val="20"/>
                <w:lang w:eastAsia="zh-CN"/>
              </w:rPr>
              <w:t>，</w:t>
            </w:r>
            <w:r>
              <w:rPr>
                <w:rFonts w:hint="eastAsia"/>
                <w:kern w:val="0"/>
                <w:sz w:val="20"/>
              </w:rPr>
              <w:t>对所有车辆车轮、底盘进行冲洗，洗车平台四周应设置洗车废水收集设施。</w:t>
            </w:r>
          </w:p>
          <w:p>
            <w:pPr>
              <w:tabs>
                <w:tab w:val="left" w:pos="267"/>
              </w:tabs>
              <w:overflowPunct w:val="0"/>
              <w:topLinePunct/>
              <w:spacing w:line="320" w:lineRule="exact"/>
              <w:rPr>
                <w:kern w:val="0"/>
                <w:sz w:val="20"/>
              </w:rPr>
            </w:pPr>
            <w:r>
              <w:rPr>
                <w:rFonts w:hint="eastAsia"/>
                <w:kern w:val="0"/>
                <w:sz w:val="20"/>
              </w:rPr>
              <w:t>9、厂区地面全部硬化或绿化。</w:t>
            </w:r>
          </w:p>
        </w:tc>
        <w:tc>
          <w:tcPr>
            <w:tcW w:w="1062"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20"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排放限值</w:t>
            </w:r>
          </w:p>
        </w:tc>
        <w:tc>
          <w:tcPr>
            <w:tcW w:w="174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spacing w:val="0"/>
                <w:sz w:val="20"/>
              </w:rPr>
            </w:pPr>
            <w:r>
              <w:rPr>
                <w:rFonts w:hint="eastAsia"/>
                <w:spacing w:val="0"/>
                <w:sz w:val="20"/>
              </w:rPr>
              <w:t>1、PM、NMHC、沥青烟有组织排放浓度均不超过10mg/m</w:t>
            </w:r>
            <w:r>
              <w:rPr>
                <w:rFonts w:hint="eastAsia"/>
                <w:spacing w:val="0"/>
                <w:sz w:val="20"/>
                <w:vertAlign w:val="superscript"/>
              </w:rPr>
              <w:t>3</w:t>
            </w:r>
            <w:r>
              <w:rPr>
                <w:rFonts w:hint="eastAsia"/>
                <w:spacing w:val="0"/>
                <w:sz w:val="20"/>
              </w:rPr>
              <w:t>；苯并芘有组织排放浓度不超过0.1μg/m</w:t>
            </w:r>
            <w:r>
              <w:rPr>
                <w:rFonts w:hint="eastAsia"/>
                <w:spacing w:val="0"/>
                <w:sz w:val="20"/>
                <w:vertAlign w:val="superscript"/>
              </w:rPr>
              <w:t>3</w:t>
            </w:r>
            <w:r>
              <w:rPr>
                <w:rFonts w:hint="eastAsia"/>
                <w:spacing w:val="0"/>
                <w:sz w:val="20"/>
              </w:rPr>
              <w:t>。</w:t>
            </w:r>
          </w:p>
          <w:p>
            <w:pPr>
              <w:overflowPunct w:val="0"/>
              <w:topLinePunct/>
              <w:spacing w:line="320" w:lineRule="exact"/>
              <w:rPr>
                <w:spacing w:val="0"/>
                <w:sz w:val="20"/>
              </w:rPr>
            </w:pPr>
            <w:r>
              <w:rPr>
                <w:rFonts w:hint="eastAsia"/>
                <w:spacing w:val="0"/>
                <w:sz w:val="20"/>
              </w:rPr>
              <w:t>2、收集的废气中NMHC初始排放速率≥2kg/h时，处理效率</w:t>
            </w:r>
            <w:r>
              <w:rPr>
                <w:spacing w:val="0"/>
                <w:sz w:val="20"/>
              </w:rPr>
              <w:t>应不低于</w:t>
            </w:r>
            <w:r>
              <w:rPr>
                <w:rFonts w:hint="eastAsia"/>
                <w:spacing w:val="0"/>
                <w:sz w:val="20"/>
              </w:rPr>
              <w:t>85%。</w:t>
            </w:r>
          </w:p>
          <w:p>
            <w:pPr>
              <w:overflowPunct w:val="0"/>
              <w:topLinePunct/>
              <w:spacing w:line="320" w:lineRule="exact"/>
              <w:rPr>
                <w:spacing w:val="0"/>
                <w:sz w:val="20"/>
              </w:rPr>
            </w:pPr>
            <w:r>
              <w:rPr>
                <w:rFonts w:hint="eastAsia"/>
                <w:spacing w:val="0"/>
                <w:sz w:val="20"/>
              </w:rPr>
              <w:t>3、厂区内无组织排放监控点NMHC的1h平均浓度值不高于6mg/m</w:t>
            </w:r>
            <w:r>
              <w:rPr>
                <w:rFonts w:hint="eastAsia"/>
                <w:spacing w:val="0"/>
                <w:sz w:val="20"/>
                <w:vertAlign w:val="superscript"/>
              </w:rPr>
              <w:t>3</w:t>
            </w:r>
            <w:r>
              <w:rPr>
                <w:rFonts w:hint="eastAsia"/>
                <w:spacing w:val="0"/>
                <w:sz w:val="20"/>
              </w:rPr>
              <w:t>、任意一次浓度值不高于20mg/m</w:t>
            </w:r>
            <w:r>
              <w:rPr>
                <w:rFonts w:hint="eastAsia"/>
                <w:spacing w:val="0"/>
                <w:sz w:val="20"/>
                <w:vertAlign w:val="superscript"/>
              </w:rPr>
              <w:t>3</w:t>
            </w:r>
            <w:r>
              <w:rPr>
                <w:rFonts w:hint="eastAsia"/>
                <w:spacing w:val="0"/>
                <w:sz w:val="20"/>
              </w:rPr>
              <w:t>。</w:t>
            </w:r>
          </w:p>
          <w:p>
            <w:pPr>
              <w:overflowPunct w:val="0"/>
              <w:topLinePunct/>
              <w:spacing w:line="320" w:lineRule="exact"/>
              <w:rPr>
                <w:sz w:val="20"/>
              </w:rPr>
            </w:pPr>
            <w:r>
              <w:rPr>
                <w:rFonts w:hint="eastAsia"/>
                <w:sz w:val="20"/>
              </w:rPr>
              <w:t>4、燃气锅炉：PM、SO</w:t>
            </w:r>
            <w:r>
              <w:rPr>
                <w:rFonts w:hint="eastAsia"/>
                <w:sz w:val="20"/>
                <w:vertAlign w:val="subscript"/>
              </w:rPr>
              <w:t>2</w:t>
            </w:r>
            <w:r>
              <w:rPr>
                <w:rFonts w:hint="eastAsia"/>
                <w:sz w:val="20"/>
              </w:rPr>
              <w:t>、NO</w:t>
            </w:r>
            <w:r>
              <w:rPr>
                <w:rFonts w:hint="eastAsia"/>
                <w:i/>
                <w:iCs/>
                <w:sz w:val="20"/>
                <w:vertAlign w:val="subscript"/>
              </w:rPr>
              <w:t>x</w:t>
            </w:r>
            <w:r>
              <w:rPr>
                <w:rFonts w:hint="eastAsia"/>
                <w:sz w:val="20"/>
              </w:rPr>
              <w:t xml:space="preserve"> 排放浓度分别不高于：5、10、</w:t>
            </w:r>
            <w:r>
              <w:rPr>
                <w:rFonts w:hint="eastAsia"/>
                <w:sz w:val="20"/>
                <w:lang w:val="en-US" w:eastAsia="zh-CN"/>
              </w:rPr>
              <w:t>3</w:t>
            </w:r>
            <w:r>
              <w:rPr>
                <w:rFonts w:hint="eastAsia"/>
                <w:sz w:val="20"/>
              </w:rPr>
              <w:t>0</w:t>
            </w:r>
            <w:r>
              <w:rPr>
                <w:rFonts w:hint="eastAsia"/>
                <w:sz w:val="20"/>
                <w:lang w:val="en-US" w:eastAsia="zh-CN"/>
              </w:rPr>
              <w:t xml:space="preserve"> </w:t>
            </w:r>
            <w:r>
              <w:rPr>
                <w:rFonts w:hint="eastAsia"/>
                <w:sz w:val="20"/>
              </w:rPr>
              <w:t>mg/m</w:t>
            </w:r>
            <w:r>
              <w:rPr>
                <w:rFonts w:hint="eastAsia"/>
                <w:sz w:val="20"/>
                <w:vertAlign w:val="superscript"/>
              </w:rPr>
              <w:t>3</w:t>
            </w:r>
            <w:r>
              <w:rPr>
                <w:rFonts w:hint="eastAsia"/>
                <w:sz w:val="20"/>
              </w:rPr>
              <w:t>（基准含氧量3.5%）。</w:t>
            </w:r>
          </w:p>
        </w:tc>
        <w:tc>
          <w:tcPr>
            <w:tcW w:w="167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1、PM、NMHC、沥青烟有组织排放浓度分别不超过10、40、20mg/m</w:t>
            </w:r>
            <w:r>
              <w:rPr>
                <w:rFonts w:hint="eastAsia"/>
                <w:kern w:val="0"/>
                <w:sz w:val="20"/>
                <w:vertAlign w:val="superscript"/>
              </w:rPr>
              <w:t>3</w:t>
            </w:r>
            <w:r>
              <w:rPr>
                <w:rFonts w:hint="eastAsia"/>
                <w:kern w:val="0"/>
                <w:sz w:val="20"/>
              </w:rPr>
              <w:t>；苯并芘有组织排放浓度不超过0.2μg/m</w:t>
            </w:r>
            <w:r>
              <w:rPr>
                <w:rFonts w:hint="eastAsia"/>
                <w:kern w:val="0"/>
                <w:sz w:val="20"/>
                <w:vertAlign w:val="superscript"/>
              </w:rPr>
              <w:t>3</w:t>
            </w:r>
            <w:r>
              <w:rPr>
                <w:rFonts w:hint="eastAsia"/>
                <w:kern w:val="0"/>
                <w:sz w:val="20"/>
              </w:rPr>
              <w:t>。</w:t>
            </w:r>
          </w:p>
          <w:p>
            <w:pPr>
              <w:overflowPunct w:val="0"/>
              <w:topLinePunct/>
              <w:spacing w:line="320" w:lineRule="exact"/>
              <w:rPr>
                <w:kern w:val="0"/>
                <w:sz w:val="20"/>
              </w:rPr>
            </w:pPr>
            <w:r>
              <w:rPr>
                <w:rFonts w:hint="eastAsia"/>
                <w:kern w:val="0"/>
                <w:sz w:val="20"/>
              </w:rPr>
              <w:t>2、收集的废气中NMHC初始排放速率≥2kg/h时，处理效率</w:t>
            </w:r>
            <w:r>
              <w:rPr>
                <w:kern w:val="0"/>
                <w:sz w:val="20"/>
              </w:rPr>
              <w:t>应不低于</w:t>
            </w:r>
            <w:r>
              <w:rPr>
                <w:rFonts w:hint="eastAsia"/>
                <w:kern w:val="0"/>
                <w:sz w:val="20"/>
              </w:rPr>
              <w:t>80%。</w:t>
            </w:r>
          </w:p>
          <w:p>
            <w:pPr>
              <w:overflowPunct w:val="0"/>
              <w:topLinePunct/>
              <w:spacing w:line="320" w:lineRule="exact"/>
              <w:rPr>
                <w:kern w:val="0"/>
                <w:sz w:val="20"/>
              </w:rPr>
            </w:pPr>
            <w:r>
              <w:rPr>
                <w:rFonts w:hint="eastAsia"/>
                <w:kern w:val="0"/>
                <w:sz w:val="20"/>
              </w:rPr>
              <w:t>3、同A级第3条要求。</w:t>
            </w:r>
          </w:p>
          <w:p>
            <w:pPr>
              <w:overflowPunct w:val="0"/>
              <w:topLinePunct/>
              <w:spacing w:line="320" w:lineRule="exact"/>
              <w:rPr>
                <w:kern w:val="0"/>
                <w:sz w:val="20"/>
              </w:rPr>
            </w:pPr>
            <w:r>
              <w:rPr>
                <w:rFonts w:hint="eastAsia"/>
                <w:kern w:val="0"/>
                <w:sz w:val="20"/>
              </w:rPr>
              <w:t>4、</w:t>
            </w:r>
            <w:r>
              <w:rPr>
                <w:rFonts w:hint="eastAsia"/>
                <w:sz w:val="20"/>
              </w:rPr>
              <w:t>燃气锅炉：PM、SO</w:t>
            </w:r>
            <w:r>
              <w:rPr>
                <w:rFonts w:hint="eastAsia"/>
                <w:sz w:val="20"/>
                <w:vertAlign w:val="subscript"/>
              </w:rPr>
              <w:t>2</w:t>
            </w:r>
            <w:r>
              <w:rPr>
                <w:rFonts w:hint="eastAsia"/>
                <w:sz w:val="20"/>
              </w:rPr>
              <w:t>、NO</w:t>
            </w:r>
            <w:r>
              <w:rPr>
                <w:rFonts w:hint="eastAsia"/>
                <w:i/>
                <w:iCs/>
                <w:sz w:val="20"/>
                <w:vertAlign w:val="subscript"/>
              </w:rPr>
              <w:t>x</w:t>
            </w:r>
            <w:r>
              <w:rPr>
                <w:rFonts w:hint="eastAsia"/>
                <w:sz w:val="20"/>
              </w:rPr>
              <w:t xml:space="preserve"> 排放浓度分别不高于：5、10、</w:t>
            </w:r>
            <w:r>
              <w:rPr>
                <w:rFonts w:hint="eastAsia"/>
                <w:sz w:val="20"/>
                <w:lang w:val="en-US" w:eastAsia="zh-CN"/>
              </w:rPr>
              <w:t>5</w:t>
            </w:r>
            <w:r>
              <w:rPr>
                <w:rFonts w:hint="eastAsia"/>
                <w:sz w:val="20"/>
              </w:rPr>
              <w:t>0</w:t>
            </w:r>
            <w:r>
              <w:rPr>
                <w:rFonts w:hint="eastAsia"/>
                <w:sz w:val="20"/>
                <w:lang w:val="en-US" w:eastAsia="zh-CN"/>
              </w:rPr>
              <w:t xml:space="preserve"> </w:t>
            </w:r>
            <w:r>
              <w:rPr>
                <w:rFonts w:hint="eastAsia"/>
                <w:sz w:val="20"/>
              </w:rPr>
              <w:t>mg/m</w:t>
            </w:r>
            <w:r>
              <w:rPr>
                <w:rFonts w:hint="eastAsia"/>
                <w:sz w:val="20"/>
                <w:vertAlign w:val="superscript"/>
              </w:rPr>
              <w:t>3</w:t>
            </w:r>
            <w:r>
              <w:rPr>
                <w:rFonts w:hint="eastAsia"/>
                <w:sz w:val="20"/>
              </w:rPr>
              <w:t>（基准含氧量3.5%</w:t>
            </w:r>
            <w:r>
              <w:rPr>
                <w:rFonts w:hint="eastAsia"/>
                <w:sz w:val="20"/>
                <w:lang w:eastAsia="zh-CN"/>
              </w:rPr>
              <w:t>，</w:t>
            </w:r>
            <w:r>
              <w:rPr>
                <w:rFonts w:hint="eastAsia"/>
                <w:kern w:val="0"/>
                <w:sz w:val="20"/>
                <w:lang w:eastAsia="zh-CN"/>
              </w:rPr>
              <w:t>高污染燃料禁燃区内</w:t>
            </w:r>
            <w:r>
              <w:rPr>
                <w:rFonts w:hint="eastAsia"/>
                <w:kern w:val="0"/>
                <w:sz w:val="20"/>
                <w:lang w:val="en-US" w:eastAsia="zh-CN"/>
              </w:rPr>
              <w:t>NO</w:t>
            </w:r>
            <w:r>
              <w:rPr>
                <w:rFonts w:hint="eastAsia"/>
                <w:i/>
                <w:iCs/>
                <w:kern w:val="0"/>
                <w:sz w:val="20"/>
                <w:vertAlign w:val="subscript"/>
                <w:lang w:val="en-US" w:eastAsia="zh-CN"/>
              </w:rPr>
              <w:t>x</w:t>
            </w:r>
            <w:r>
              <w:rPr>
                <w:rFonts w:hint="eastAsia"/>
                <w:kern w:val="0"/>
                <w:sz w:val="20"/>
                <w:lang w:val="en-US" w:eastAsia="zh-CN"/>
              </w:rPr>
              <w:t xml:space="preserve">执行30 </w:t>
            </w:r>
            <w:r>
              <w:rPr>
                <w:rFonts w:hint="eastAsia"/>
                <w:kern w:val="0"/>
                <w:sz w:val="20"/>
              </w:rPr>
              <w:t>mg/m</w:t>
            </w:r>
            <w:r>
              <w:rPr>
                <w:rFonts w:hint="eastAsia"/>
                <w:kern w:val="0"/>
                <w:sz w:val="20"/>
                <w:vertAlign w:val="superscript"/>
              </w:rPr>
              <w:t>3</w:t>
            </w:r>
            <w:r>
              <w:rPr>
                <w:rFonts w:hint="eastAsia"/>
                <w:sz w:val="20"/>
              </w:rPr>
              <w:t>）</w:t>
            </w:r>
          </w:p>
        </w:tc>
        <w:tc>
          <w:tcPr>
            <w:tcW w:w="1062"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20"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p>
        </w:tc>
        <w:tc>
          <w:tcPr>
            <w:tcW w:w="3418" w:type="pct"/>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备注：各项污染物稳定达到以上排放控制要求。</w:t>
            </w:r>
          </w:p>
        </w:tc>
        <w:tc>
          <w:tcPr>
            <w:tcW w:w="1062"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2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监测监控水平</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rPr>
                <w:kern w:val="0"/>
                <w:sz w:val="20"/>
              </w:rPr>
            </w:pPr>
            <w:r>
              <w:rPr>
                <w:rFonts w:hint="eastAsia"/>
                <w:kern w:val="0"/>
                <w:sz w:val="20"/>
              </w:rPr>
              <w:t>1、重点排污企业风量大于10000 m</w:t>
            </w:r>
            <w:r>
              <w:rPr>
                <w:rFonts w:hint="eastAsia"/>
                <w:kern w:val="0"/>
                <w:sz w:val="20"/>
                <w:vertAlign w:val="superscript"/>
              </w:rPr>
              <w:t>3</w:t>
            </w:r>
            <w:r>
              <w:rPr>
                <w:rFonts w:hint="eastAsia"/>
                <w:kern w:val="0"/>
                <w:sz w:val="20"/>
              </w:rPr>
              <w:t>/h的</w:t>
            </w:r>
            <w:r>
              <w:rPr>
                <w:rFonts w:hint="eastAsia"/>
                <w:kern w:val="0"/>
                <w:sz w:val="20"/>
                <w:lang w:val="en-US" w:eastAsia="zh-CN"/>
              </w:rPr>
              <w:t>有机废气</w:t>
            </w:r>
            <w:r>
              <w:rPr>
                <w:rFonts w:hint="eastAsia"/>
                <w:kern w:val="0"/>
                <w:sz w:val="20"/>
              </w:rPr>
              <w:t>主要</w:t>
            </w:r>
            <w:r>
              <w:rPr>
                <w:rFonts w:hint="eastAsia"/>
                <w:kern w:val="0"/>
                <w:sz w:val="20"/>
                <w:lang w:val="en-US" w:eastAsia="zh-CN"/>
              </w:rPr>
              <w:t>排放口</w:t>
            </w:r>
            <w:r>
              <w:rPr>
                <w:rFonts w:hint="eastAsia"/>
                <w:kern w:val="0"/>
                <w:sz w:val="20"/>
              </w:rPr>
              <w:t>安装NMHC</w:t>
            </w:r>
            <w:r>
              <w:rPr>
                <w:rFonts w:hint="eastAsia"/>
                <w:kern w:val="0"/>
                <w:sz w:val="20"/>
                <w:lang w:eastAsia="zh-CN"/>
              </w:rPr>
              <w:t>在线监测系统（</w:t>
            </w:r>
            <w:r>
              <w:rPr>
                <w:rFonts w:hint="eastAsia"/>
                <w:kern w:val="0"/>
                <w:sz w:val="20"/>
                <w:lang w:val="en-US" w:eastAsia="zh-CN"/>
              </w:rPr>
              <w:t>FID检测器</w:t>
            </w:r>
            <w:r>
              <w:rPr>
                <w:rFonts w:hint="eastAsia"/>
                <w:kern w:val="0"/>
                <w:sz w:val="20"/>
                <w:lang w:eastAsia="zh-CN"/>
              </w:rPr>
              <w:t>）</w:t>
            </w:r>
            <w:r>
              <w:rPr>
                <w:rFonts w:hint="eastAsia"/>
                <w:kern w:val="0"/>
                <w:sz w:val="20"/>
              </w:rPr>
              <w:t>，重点排污单位及排污许可重点管理单位主要排</w:t>
            </w:r>
            <w:r>
              <w:rPr>
                <w:rFonts w:hint="eastAsia"/>
                <w:kern w:val="0"/>
                <w:sz w:val="20"/>
                <w:lang w:eastAsia="zh-CN"/>
              </w:rPr>
              <w:t>放</w:t>
            </w:r>
            <w:r>
              <w:rPr>
                <w:rFonts w:hint="eastAsia"/>
                <w:kern w:val="0"/>
                <w:sz w:val="20"/>
              </w:rPr>
              <w:t>口安装污染物排放自动监测设备（CEMS），并与生态环境主管部门的监控设备联网，数据保存一年以上（投产或安装时间不满一年的企业，以现有数据为准）。</w:t>
            </w:r>
          </w:p>
          <w:p>
            <w:pPr>
              <w:tabs>
                <w:tab w:val="left" w:pos="267"/>
              </w:tabs>
              <w:overflowPunct w:val="0"/>
              <w:topLinePunct/>
              <w:spacing w:line="320" w:lineRule="exact"/>
              <w:rPr>
                <w:kern w:val="0"/>
                <w:sz w:val="20"/>
              </w:rPr>
            </w:pPr>
            <w:r>
              <w:rPr>
                <w:rFonts w:hint="eastAsia"/>
                <w:kern w:val="0"/>
                <w:sz w:val="20"/>
              </w:rPr>
              <w:t>2、按照排污许可证、行业自行监测指南或排污单位自行监测技术指南等相关要求开展自行监测。</w:t>
            </w:r>
          </w:p>
          <w:p>
            <w:pPr>
              <w:tabs>
                <w:tab w:val="left" w:pos="267"/>
              </w:tabs>
              <w:overflowPunct w:val="0"/>
              <w:topLinePunct/>
              <w:spacing w:line="320" w:lineRule="exact"/>
              <w:ind w:left="0"/>
              <w:rPr>
                <w:kern w:val="0"/>
                <w:sz w:val="20"/>
              </w:rPr>
            </w:pPr>
            <w:r>
              <w:rPr>
                <w:rFonts w:hint="eastAsia"/>
                <w:kern w:val="0"/>
                <w:sz w:val="20"/>
              </w:rPr>
              <w:t>3、厂区货运进出口</w:t>
            </w:r>
            <w:r>
              <w:rPr>
                <w:rFonts w:hint="eastAsia"/>
                <w:kern w:val="0"/>
                <w:sz w:val="20"/>
                <w:lang w:eastAsia="zh-CN"/>
              </w:rPr>
              <w:t>、</w:t>
            </w:r>
            <w:r>
              <w:rPr>
                <w:rFonts w:hint="eastAsia"/>
                <w:kern w:val="0"/>
                <w:sz w:val="20"/>
              </w:rPr>
              <w:t>料场出入口等易产尘点安装高清视频监控系统，视频监控数据保存3个月以上。</w:t>
            </w:r>
          </w:p>
          <w:p>
            <w:pPr>
              <w:tabs>
                <w:tab w:val="left" w:pos="267"/>
              </w:tabs>
              <w:overflowPunct w:val="0"/>
              <w:topLinePunct/>
              <w:spacing w:line="320" w:lineRule="exact"/>
              <w:ind w:left="0"/>
              <w:rPr>
                <w:kern w:val="0"/>
                <w:sz w:val="20"/>
              </w:rPr>
            </w:pPr>
            <w:r>
              <w:rPr>
                <w:rFonts w:hint="eastAsia"/>
                <w:kern w:val="0"/>
                <w:sz w:val="20"/>
                <w:lang w:val="en-US" w:eastAsia="zh-CN"/>
              </w:rPr>
              <w:t>4</w:t>
            </w:r>
            <w:r>
              <w:rPr>
                <w:rFonts w:hint="eastAsia"/>
                <w:kern w:val="0"/>
                <w:sz w:val="20"/>
              </w:rPr>
              <w:t>、企业主要环保设施及生产设施安装分布式控制系统（DCS）或可保存和查看历史数据的可编程控制系统（PLC），记录企业环保设施运行及相关生产过程主要参数，数据保存一年以上。</w:t>
            </w:r>
          </w:p>
          <w:p>
            <w:pPr>
              <w:tabs>
                <w:tab w:val="left" w:pos="267"/>
              </w:tabs>
              <w:overflowPunct w:val="0"/>
              <w:topLinePunct/>
              <w:spacing w:line="320" w:lineRule="exact"/>
              <w:ind w:left="0"/>
              <w:rPr>
                <w:kern w:val="0"/>
                <w:sz w:val="20"/>
              </w:rPr>
            </w:pPr>
            <w:r>
              <w:rPr>
                <w:rFonts w:hint="eastAsia"/>
                <w:kern w:val="0"/>
                <w:sz w:val="20"/>
                <w:lang w:val="en-US" w:eastAsia="zh-CN"/>
              </w:rPr>
              <w:t>5</w:t>
            </w:r>
            <w:r>
              <w:rPr>
                <w:rFonts w:hint="eastAsia"/>
                <w:kern w:val="0"/>
                <w:sz w:val="20"/>
              </w:rPr>
              <w:t>、厂界需安装颗粒物（PM</w:t>
            </w:r>
            <w:r>
              <w:rPr>
                <w:rFonts w:hint="eastAsia"/>
                <w:kern w:val="0"/>
                <w:sz w:val="20"/>
                <w:vertAlign w:val="subscript"/>
              </w:rPr>
              <w:t>2.5</w:t>
            </w:r>
            <w:r>
              <w:rPr>
                <w:rFonts w:hint="eastAsia"/>
                <w:kern w:val="0"/>
                <w:sz w:val="20"/>
              </w:rPr>
              <w:t>和PM</w:t>
            </w:r>
            <w:r>
              <w:rPr>
                <w:rFonts w:hint="eastAsia"/>
                <w:kern w:val="0"/>
                <w:sz w:val="20"/>
                <w:vertAlign w:val="subscript"/>
              </w:rPr>
              <w:t>10</w:t>
            </w:r>
            <w:r>
              <w:rPr>
                <w:rFonts w:hint="eastAsia"/>
                <w:kern w:val="0"/>
                <w:sz w:val="20"/>
              </w:rPr>
              <w:t>）无组织自动监控设施。</w:t>
            </w:r>
          </w:p>
        </w:tc>
        <w:tc>
          <w:tcPr>
            <w:tcW w:w="1062"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20"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环境管理水平</w:t>
            </w:r>
          </w:p>
        </w:tc>
        <w:tc>
          <w:tcPr>
            <w:tcW w:w="4480" w:type="pct"/>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环保档案：1、环评批复文件和竣工环保验收文件或者环境现状评估备案证明；2、排污许可证或固定污染源排污登记回执；3、环境管理制度（有组织、无组织排放长效管理机制，主要包括岗位责任制度、达标公示制度和定期巡查维护制度等）；4、废气治理设施运行管理规程；5、一年内废气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20"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p>
        </w:tc>
        <w:tc>
          <w:tcPr>
            <w:tcW w:w="3418"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rPr>
                <w:kern w:val="0"/>
                <w:sz w:val="20"/>
              </w:rPr>
            </w:pPr>
            <w:r>
              <w:rPr>
                <w:rFonts w:hint="eastAsia"/>
                <w:kern w:val="0"/>
                <w:sz w:val="20"/>
              </w:rPr>
              <w:t>台账记录：1、生产设施运行管理信息（生产时间、运行负荷、产品产量等）；2、废气污染治理设施运行管理信息；3、监测记录信息（主要污染排放口废气排放监测记录等）；4、主要原辅材料消耗记录；5、燃料消耗记录；6、一般固废、危废处理记录；7、公路运输车辆、厂内车辆、非道路移动机械电子台账（进出场时间、车辆或非道路移动机械信息、运送货物名称及运量等）。</w:t>
            </w:r>
          </w:p>
        </w:tc>
        <w:tc>
          <w:tcPr>
            <w:tcW w:w="1062"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20"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p>
        </w:tc>
        <w:tc>
          <w:tcPr>
            <w:tcW w:w="3418"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ind w:left="-53"/>
              <w:rPr>
                <w:kern w:val="0"/>
                <w:sz w:val="20"/>
              </w:rPr>
            </w:pPr>
            <w:r>
              <w:rPr>
                <w:rFonts w:hint="eastAsia"/>
                <w:kern w:val="0"/>
                <w:sz w:val="20"/>
              </w:rPr>
              <w:t>人员配置：配备专职环保人员，并具备相应的环境管理能力（学历、培训、从业经验等）</w:t>
            </w:r>
          </w:p>
        </w:tc>
        <w:tc>
          <w:tcPr>
            <w:tcW w:w="1062"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2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运输方式</w:t>
            </w:r>
          </w:p>
        </w:tc>
        <w:tc>
          <w:tcPr>
            <w:tcW w:w="1740"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rPr>
                <w:kern w:val="0"/>
                <w:sz w:val="20"/>
              </w:rPr>
            </w:pPr>
            <w:r>
              <w:rPr>
                <w:rFonts w:hint="eastAsia"/>
                <w:kern w:val="0"/>
                <w:sz w:val="20"/>
              </w:rPr>
              <w:t>1、物料、产品公路运输（除罐车外）全部采用国五及以上排放标准重型载货车辆（含燃气）或新能源车辆。</w:t>
            </w:r>
          </w:p>
          <w:p>
            <w:pPr>
              <w:tabs>
                <w:tab w:val="left" w:pos="267"/>
              </w:tabs>
              <w:overflowPunct w:val="0"/>
              <w:topLinePunct/>
              <w:spacing w:line="320" w:lineRule="exact"/>
              <w:rPr>
                <w:kern w:val="0"/>
                <w:sz w:val="20"/>
              </w:rPr>
            </w:pPr>
            <w:r>
              <w:rPr>
                <w:rFonts w:hint="eastAsia"/>
                <w:kern w:val="0"/>
                <w:sz w:val="20"/>
              </w:rPr>
              <w:t>2、厂内运输车辆全部达到国五及以上排放标准（含燃气）或使用新能源车辆。</w:t>
            </w:r>
          </w:p>
          <w:p>
            <w:pPr>
              <w:tabs>
                <w:tab w:val="left" w:pos="267"/>
              </w:tabs>
              <w:overflowPunct w:val="0"/>
              <w:topLinePunct/>
              <w:spacing w:line="320" w:lineRule="exact"/>
              <w:rPr>
                <w:kern w:val="0"/>
                <w:sz w:val="20"/>
              </w:rPr>
            </w:pPr>
            <w:r>
              <w:rPr>
                <w:rFonts w:hint="eastAsia"/>
                <w:kern w:val="0"/>
                <w:sz w:val="20"/>
              </w:rPr>
              <w:t>3、厂内非道路移动机械全部达到国三及以上排放标准或使用新能源机械。</w:t>
            </w:r>
          </w:p>
          <w:p>
            <w:pPr>
              <w:tabs>
                <w:tab w:val="left" w:pos="267"/>
              </w:tabs>
              <w:overflowPunct w:val="0"/>
              <w:topLinePunct/>
              <w:spacing w:line="320" w:lineRule="exact"/>
              <w:rPr>
                <w:kern w:val="0"/>
                <w:sz w:val="20"/>
              </w:rPr>
            </w:pPr>
            <w:r>
              <w:rPr>
                <w:rFonts w:hint="eastAsia"/>
                <w:kern w:val="0"/>
                <w:sz w:val="20"/>
              </w:rPr>
              <w:t>4、沥青混合料运输车辆全密闭。</w:t>
            </w:r>
          </w:p>
        </w:tc>
        <w:tc>
          <w:tcPr>
            <w:tcW w:w="1678"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ind w:left="0"/>
              <w:rPr>
                <w:kern w:val="0"/>
                <w:sz w:val="20"/>
              </w:rPr>
            </w:pPr>
            <w:r>
              <w:rPr>
                <w:rFonts w:hint="eastAsia"/>
                <w:kern w:val="0"/>
                <w:sz w:val="20"/>
              </w:rPr>
              <w:t>1、物料、产品公路运输（除罐车外）采用国五及以上排放标准重型载货车辆（含燃气）或新能源车辆比例不低于80%。</w:t>
            </w:r>
          </w:p>
          <w:p>
            <w:pPr>
              <w:tabs>
                <w:tab w:val="left" w:pos="267"/>
              </w:tabs>
              <w:overflowPunct w:val="0"/>
              <w:topLinePunct/>
              <w:spacing w:line="320" w:lineRule="exact"/>
              <w:ind w:left="0"/>
              <w:rPr>
                <w:kern w:val="0"/>
                <w:sz w:val="20"/>
              </w:rPr>
            </w:pPr>
            <w:r>
              <w:rPr>
                <w:rFonts w:hint="eastAsia"/>
                <w:kern w:val="0"/>
                <w:sz w:val="20"/>
              </w:rPr>
              <w:t>2、厂内运输车辆达到国五及以上排放标准（含燃气）或使用新能源车辆比例不低于80%。</w:t>
            </w:r>
          </w:p>
          <w:p>
            <w:pPr>
              <w:tabs>
                <w:tab w:val="left" w:pos="267"/>
              </w:tabs>
              <w:overflowPunct w:val="0"/>
              <w:topLinePunct/>
              <w:spacing w:line="320" w:lineRule="exact"/>
              <w:ind w:left="0"/>
              <w:rPr>
                <w:kern w:val="0"/>
                <w:sz w:val="20"/>
              </w:rPr>
            </w:pPr>
            <w:r>
              <w:rPr>
                <w:rFonts w:hint="eastAsia"/>
                <w:kern w:val="0"/>
                <w:sz w:val="20"/>
              </w:rPr>
              <w:t>3、厂内非道路移动机械达到国三及以上排放标准或使用新能源机械比例不低于80%。</w:t>
            </w:r>
          </w:p>
          <w:p>
            <w:pPr>
              <w:tabs>
                <w:tab w:val="left" w:pos="267"/>
              </w:tabs>
              <w:overflowPunct w:val="0"/>
              <w:topLinePunct/>
              <w:spacing w:line="320" w:lineRule="exact"/>
              <w:ind w:left="0"/>
              <w:rPr>
                <w:kern w:val="0"/>
                <w:sz w:val="20"/>
              </w:rPr>
            </w:pPr>
            <w:r>
              <w:rPr>
                <w:rFonts w:hint="eastAsia"/>
                <w:kern w:val="0"/>
                <w:sz w:val="20"/>
              </w:rPr>
              <w:t>4、沥青混合料运输车辆采用矿物棉等全覆盖。</w:t>
            </w:r>
          </w:p>
        </w:tc>
        <w:tc>
          <w:tcPr>
            <w:tcW w:w="1062"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20"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运输监管</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267"/>
              </w:tabs>
              <w:kinsoku/>
              <w:wordWrap/>
              <w:overflowPunct w:val="0"/>
              <w:topLinePunct/>
              <w:autoSpaceDE/>
              <w:autoSpaceDN/>
              <w:bidi w:val="0"/>
              <w:adjustRightInd/>
              <w:snapToGrid/>
              <w:spacing w:line="320" w:lineRule="exact"/>
              <w:ind w:left="0"/>
              <w:textAlignment w:val="auto"/>
              <w:rPr>
                <w:kern w:val="0"/>
                <w:sz w:val="20"/>
              </w:rPr>
            </w:pPr>
            <w:r>
              <w:rPr>
                <w:rFonts w:hint="eastAsia"/>
                <w:kern w:val="0"/>
                <w:sz w:val="20"/>
                <w:lang w:eastAsia="zh-CN"/>
              </w:rPr>
              <w:t>建立门禁系统和电子台账，创建要求参照《重点行业移动源监管与核查技术指南》（</w:t>
            </w:r>
            <w:r>
              <w:rPr>
                <w:rFonts w:hint="eastAsia"/>
                <w:kern w:val="0"/>
                <w:sz w:val="20"/>
                <w:lang w:val="en-US" w:eastAsia="zh-CN"/>
              </w:rPr>
              <w:t>HJ 1321</w:t>
            </w:r>
            <w:r>
              <w:rPr>
                <w:rFonts w:hint="eastAsia"/>
                <w:kern w:val="0"/>
                <w:sz w:val="20"/>
                <w:lang w:eastAsia="zh-CN"/>
              </w:rPr>
              <w:t>）</w:t>
            </w:r>
            <w:r>
              <w:rPr>
                <w:rFonts w:hint="eastAsia"/>
                <w:kern w:val="0"/>
                <w:sz w:val="20"/>
              </w:rPr>
              <w:t>。</w:t>
            </w:r>
          </w:p>
        </w:tc>
        <w:tc>
          <w:tcPr>
            <w:tcW w:w="1062"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未达到A、B级要求。</w:t>
            </w:r>
          </w:p>
        </w:tc>
      </w:tr>
    </w:tbl>
    <w:p>
      <w:pPr>
        <w:overflowPunct w:val="0"/>
        <w:topLinePunct/>
        <w:jc w:val="center"/>
        <w:rPr>
          <w:rFonts w:eastAsia="宋体"/>
          <w:kern w:val="0"/>
          <w:sz w:val="22"/>
          <w:szCs w:val="22"/>
        </w:rPr>
      </w:pPr>
    </w:p>
    <w:p>
      <w:pPr>
        <w:overflowPunct w:val="0"/>
        <w:topLinePunct/>
        <w:spacing w:line="360" w:lineRule="auto"/>
        <w:rPr>
          <w:rFonts w:eastAsia="楷体_GB2312"/>
          <w:sz w:val="30"/>
          <w:szCs w:val="30"/>
        </w:rPr>
        <w:sectPr>
          <w:headerReference r:id="rId47" w:type="default"/>
          <w:footerReference r:id="rId49" w:type="default"/>
          <w:headerReference r:id="rId48" w:type="even"/>
          <w:footerReference r:id="rId50" w:type="even"/>
          <w:pgSz w:w="16840" w:h="11910" w:orient="landscape"/>
          <w:pgMar w:top="1588" w:right="2098" w:bottom="1474" w:left="1247" w:header="851" w:footer="992" w:gutter="0"/>
          <w:cols w:space="720" w:num="1"/>
          <w:docGrid w:linePitch="286" w:charSpace="0"/>
        </w:sectPr>
      </w:pPr>
    </w:p>
    <w:p>
      <w:pPr>
        <w:overflowPunct w:val="0"/>
        <w:topLinePunct/>
        <w:spacing w:line="520" w:lineRule="exact"/>
        <w:ind w:firstLine="576" w:firstLineChars="200"/>
        <w:outlineLvl w:val="2"/>
        <w:rPr>
          <w:rFonts w:eastAsia="楷体_GB2312"/>
          <w:kern w:val="0"/>
          <w:sz w:val="30"/>
          <w:szCs w:val="30"/>
        </w:rPr>
      </w:pPr>
      <w:bookmarkStart w:id="79" w:name="_Toc121413358"/>
      <w:bookmarkStart w:id="80" w:name="_Toc814"/>
      <w:r>
        <w:rPr>
          <w:rFonts w:eastAsia="楷体_GB2312"/>
          <w:kern w:val="0"/>
          <w:sz w:val="30"/>
          <w:szCs w:val="30"/>
        </w:rPr>
        <w:t>（五）减排措施</w:t>
      </w:r>
      <w:bookmarkEnd w:id="79"/>
      <w:bookmarkEnd w:id="80"/>
    </w:p>
    <w:p>
      <w:pPr>
        <w:overflowPunct w:val="0"/>
        <w:topLinePunct/>
        <w:spacing w:line="520" w:lineRule="exact"/>
        <w:ind w:firstLine="576" w:firstLineChars="200"/>
        <w:rPr>
          <w:sz w:val="30"/>
          <w:szCs w:val="30"/>
        </w:rPr>
      </w:pPr>
      <w:r>
        <w:rPr>
          <w:sz w:val="30"/>
          <w:szCs w:val="30"/>
        </w:rPr>
        <w:t>1、A级企业</w:t>
      </w:r>
    </w:p>
    <w:p>
      <w:pPr>
        <w:overflowPunct w:val="0"/>
        <w:topLinePunct/>
        <w:spacing w:line="520" w:lineRule="exact"/>
        <w:ind w:firstLine="576" w:firstLineChars="200"/>
        <w:rPr>
          <w:sz w:val="30"/>
          <w:szCs w:val="30"/>
        </w:rPr>
      </w:pPr>
      <w:r>
        <w:rPr>
          <w:sz w:val="30"/>
          <w:szCs w:val="30"/>
        </w:rPr>
        <w:t>鼓励结合实际，自主采取减排措施。</w:t>
      </w:r>
    </w:p>
    <w:p>
      <w:pPr>
        <w:overflowPunct w:val="0"/>
        <w:topLinePunct/>
        <w:spacing w:line="520" w:lineRule="exact"/>
        <w:ind w:firstLine="576" w:firstLineChars="200"/>
        <w:rPr>
          <w:sz w:val="30"/>
          <w:szCs w:val="30"/>
        </w:rPr>
      </w:pPr>
      <w:r>
        <w:rPr>
          <w:sz w:val="30"/>
          <w:szCs w:val="30"/>
        </w:rPr>
        <w:t>2、B级企业</w:t>
      </w:r>
    </w:p>
    <w:p>
      <w:pPr>
        <w:overflowPunct w:val="0"/>
        <w:topLinePunct/>
        <w:spacing w:line="520" w:lineRule="exact"/>
        <w:ind w:firstLine="576" w:firstLineChars="200"/>
        <w:rPr>
          <w:sz w:val="30"/>
          <w:szCs w:val="30"/>
        </w:rPr>
      </w:pPr>
      <w:r>
        <w:rPr>
          <w:sz w:val="30"/>
          <w:szCs w:val="30"/>
        </w:rPr>
        <w:t>黄色预警期间：停止使用国四及以下重型载货车辆（含燃气）进行运输。</w:t>
      </w:r>
    </w:p>
    <w:p>
      <w:pPr>
        <w:overflowPunct w:val="0"/>
        <w:topLinePunct/>
        <w:spacing w:line="520" w:lineRule="exact"/>
        <w:ind w:firstLine="576" w:firstLineChars="200"/>
        <w:rPr>
          <w:sz w:val="30"/>
          <w:szCs w:val="30"/>
        </w:rPr>
      </w:pPr>
      <w:r>
        <w:rPr>
          <w:sz w:val="30"/>
          <w:szCs w:val="30"/>
        </w:rPr>
        <w:t>橙色预警期间：搅拌、烘干、沥青加热等工序</w:t>
      </w:r>
      <w:r>
        <w:rPr>
          <w:rFonts w:hint="eastAsia"/>
          <w:sz w:val="30"/>
          <w:szCs w:val="30"/>
        </w:rPr>
        <w:t>限产</w:t>
      </w:r>
      <w:r>
        <w:rPr>
          <w:sz w:val="30"/>
          <w:szCs w:val="30"/>
        </w:rPr>
        <w:t>50%</w:t>
      </w:r>
      <w:r>
        <w:rPr>
          <w:rFonts w:hint="eastAsia"/>
          <w:sz w:val="30"/>
          <w:szCs w:val="30"/>
        </w:rPr>
        <w:t>，</w:t>
      </w:r>
      <w:r>
        <w:rPr>
          <w:sz w:val="30"/>
          <w:szCs w:val="30"/>
        </w:rPr>
        <w:t>以“环评批复产能、排污许可载明产能、前一年正常生产实际产量”三者日均值的最小值为基准核算；停止使用国四及以下重型载货车辆（含燃气）进行运输。</w:t>
      </w:r>
    </w:p>
    <w:p>
      <w:pPr>
        <w:overflowPunct w:val="0"/>
        <w:topLinePunct/>
        <w:spacing w:line="520" w:lineRule="exact"/>
        <w:ind w:firstLine="576" w:firstLineChars="200"/>
        <w:rPr>
          <w:sz w:val="30"/>
          <w:szCs w:val="30"/>
        </w:rPr>
      </w:pPr>
      <w:r>
        <w:rPr>
          <w:sz w:val="30"/>
          <w:szCs w:val="30"/>
        </w:rPr>
        <w:t>红色预警期间：搅拌、烘干、沥青加热等工序停产；停止使用国四及以下重型载货车辆（含燃气）进行运输。</w:t>
      </w:r>
    </w:p>
    <w:p>
      <w:pPr>
        <w:overflowPunct w:val="0"/>
        <w:topLinePunct/>
        <w:spacing w:line="520" w:lineRule="exact"/>
        <w:ind w:firstLine="576" w:firstLineChars="200"/>
        <w:rPr>
          <w:sz w:val="30"/>
          <w:szCs w:val="30"/>
        </w:rPr>
      </w:pPr>
      <w:r>
        <w:rPr>
          <w:sz w:val="30"/>
          <w:szCs w:val="30"/>
        </w:rPr>
        <w:t>3、C级企业</w:t>
      </w:r>
    </w:p>
    <w:p>
      <w:pPr>
        <w:overflowPunct w:val="0"/>
        <w:topLinePunct/>
        <w:spacing w:line="520" w:lineRule="exact"/>
        <w:ind w:firstLine="576" w:firstLineChars="200"/>
        <w:rPr>
          <w:sz w:val="30"/>
          <w:szCs w:val="30"/>
        </w:rPr>
      </w:pPr>
      <w:r>
        <w:rPr>
          <w:sz w:val="30"/>
          <w:szCs w:val="30"/>
        </w:rPr>
        <w:t>黄色预警期间：搅拌、烘干、沥青加热等工序</w:t>
      </w:r>
      <w:r>
        <w:rPr>
          <w:rFonts w:hint="eastAsia"/>
          <w:sz w:val="30"/>
          <w:szCs w:val="30"/>
        </w:rPr>
        <w:t>限</w:t>
      </w:r>
      <w:r>
        <w:rPr>
          <w:sz w:val="30"/>
          <w:szCs w:val="30"/>
        </w:rPr>
        <w:t>产50%</w:t>
      </w:r>
      <w:r>
        <w:rPr>
          <w:rFonts w:hint="eastAsia"/>
          <w:sz w:val="30"/>
          <w:szCs w:val="30"/>
        </w:rPr>
        <w:t>，</w:t>
      </w:r>
      <w:r>
        <w:rPr>
          <w:sz w:val="30"/>
          <w:szCs w:val="30"/>
        </w:rPr>
        <w:t>以“环评批复产能、排污许可载明产能、前一年正常生产实际产量”三者日均值的最小值为基准核算；停止使用国四及以下重型载货车辆（含燃气）进行运输。</w:t>
      </w:r>
    </w:p>
    <w:p>
      <w:pPr>
        <w:overflowPunct w:val="0"/>
        <w:topLinePunct/>
        <w:spacing w:line="520" w:lineRule="exact"/>
        <w:ind w:firstLine="576" w:firstLineChars="200"/>
        <w:rPr>
          <w:sz w:val="30"/>
          <w:szCs w:val="30"/>
        </w:rPr>
      </w:pPr>
      <w:r>
        <w:rPr>
          <w:sz w:val="30"/>
          <w:szCs w:val="30"/>
        </w:rPr>
        <w:t>橙色和红色预警期间：搅拌、烘干、沥青加热等工序停产；停止使用国四及以下重型载货车辆（含燃气）进行运输。</w:t>
      </w:r>
    </w:p>
    <w:p>
      <w:pPr>
        <w:overflowPunct w:val="0"/>
        <w:topLinePunct/>
        <w:spacing w:line="520" w:lineRule="exact"/>
        <w:ind w:firstLine="576" w:firstLineChars="200"/>
        <w:rPr>
          <w:sz w:val="30"/>
          <w:szCs w:val="30"/>
        </w:rPr>
      </w:pPr>
      <w:r>
        <w:rPr>
          <w:sz w:val="30"/>
          <w:szCs w:val="30"/>
        </w:rPr>
        <w:t>4、备注</w:t>
      </w:r>
    </w:p>
    <w:p>
      <w:pPr>
        <w:overflowPunct w:val="0"/>
        <w:topLinePunct/>
        <w:spacing w:line="520" w:lineRule="exact"/>
        <w:ind w:firstLine="576" w:firstLineChars="200"/>
        <w:rPr>
          <w:sz w:val="30"/>
          <w:szCs w:val="30"/>
        </w:rPr>
      </w:pPr>
      <w:r>
        <w:rPr>
          <w:sz w:val="30"/>
          <w:szCs w:val="30"/>
        </w:rPr>
        <w:t>保障重点工程的沥青混合料搅拌站，经市级及以上部门批准后，实行定向定量生产和运输。</w:t>
      </w:r>
    </w:p>
    <w:p>
      <w:pPr>
        <w:overflowPunct w:val="0"/>
        <w:topLinePunct/>
        <w:spacing w:line="520" w:lineRule="exact"/>
        <w:ind w:firstLine="576" w:firstLineChars="200"/>
        <w:outlineLvl w:val="2"/>
        <w:rPr>
          <w:rFonts w:eastAsia="楷体_GB2312"/>
          <w:kern w:val="0"/>
          <w:sz w:val="30"/>
          <w:szCs w:val="30"/>
        </w:rPr>
      </w:pPr>
      <w:bookmarkStart w:id="81" w:name="_Toc31165"/>
      <w:bookmarkStart w:id="82" w:name="_Toc121413359"/>
      <w:r>
        <w:rPr>
          <w:rFonts w:eastAsia="楷体_GB2312"/>
          <w:kern w:val="0"/>
          <w:sz w:val="30"/>
          <w:szCs w:val="30"/>
        </w:rPr>
        <w:t>（六）核查方法</w:t>
      </w:r>
      <w:bookmarkEnd w:id="81"/>
      <w:bookmarkEnd w:id="82"/>
    </w:p>
    <w:p>
      <w:pPr>
        <w:overflowPunct w:val="0"/>
        <w:topLinePunct/>
        <w:spacing w:line="520" w:lineRule="exact"/>
        <w:ind w:firstLine="576" w:firstLineChars="200"/>
        <w:rPr>
          <w:sz w:val="30"/>
          <w:szCs w:val="30"/>
        </w:rPr>
      </w:pPr>
      <w:r>
        <w:rPr>
          <w:sz w:val="30"/>
          <w:szCs w:val="30"/>
        </w:rPr>
        <w:t>1、电量分析：分析预警期间企业涉气工序生产设备用电量明细，分析</w:t>
      </w:r>
      <w:r>
        <w:rPr>
          <w:rFonts w:hint="eastAsia"/>
          <w:sz w:val="30"/>
          <w:szCs w:val="30"/>
          <w:lang w:eastAsia="zh-CN"/>
        </w:rPr>
        <w:t>历史</w:t>
      </w:r>
      <w:r>
        <w:rPr>
          <w:sz w:val="30"/>
          <w:szCs w:val="30"/>
        </w:rPr>
        <w:t>预警</w:t>
      </w:r>
      <w:r>
        <w:rPr>
          <w:rFonts w:hint="eastAsia"/>
          <w:sz w:val="30"/>
          <w:szCs w:val="30"/>
          <w:lang w:val="en-US" w:eastAsia="zh-CN"/>
        </w:rPr>
        <w:t>前后</w:t>
      </w:r>
      <w:r>
        <w:rPr>
          <w:sz w:val="30"/>
          <w:szCs w:val="30"/>
        </w:rPr>
        <w:t>电量变化，比对采取减排措施期间的用电量是否明显下降。</w:t>
      </w:r>
    </w:p>
    <w:p>
      <w:pPr>
        <w:overflowPunct w:val="0"/>
        <w:topLinePunct/>
        <w:spacing w:line="520" w:lineRule="exact"/>
        <w:ind w:firstLine="576" w:firstLineChars="200"/>
        <w:rPr>
          <w:sz w:val="30"/>
          <w:szCs w:val="30"/>
        </w:rPr>
      </w:pPr>
      <w:r>
        <w:rPr>
          <w:sz w:val="30"/>
          <w:szCs w:val="30"/>
        </w:rPr>
        <w:t>2、现场核查：查看污染治理设施是否稳定运行；查看生产设备预警期间是否按要求实施停限产。</w:t>
      </w:r>
    </w:p>
    <w:p>
      <w:pPr>
        <w:overflowPunct w:val="0"/>
        <w:topLinePunct/>
        <w:spacing w:line="520" w:lineRule="exact"/>
        <w:ind w:firstLine="576" w:firstLineChars="200"/>
        <w:rPr>
          <w:sz w:val="30"/>
          <w:szCs w:val="30"/>
        </w:rPr>
      </w:pPr>
      <w:r>
        <w:rPr>
          <w:sz w:val="30"/>
          <w:szCs w:val="30"/>
        </w:rPr>
        <w:t>3、台账核查：重点核查生产设施运行台账；核查企业原辅料等使用量，产品产量台账，判断预警期间是否落实停</w:t>
      </w:r>
      <w:r>
        <w:rPr>
          <w:rFonts w:hint="eastAsia"/>
          <w:sz w:val="30"/>
          <w:szCs w:val="30"/>
          <w:lang w:eastAsia="zh-CN"/>
        </w:rPr>
        <w:t>限</w:t>
      </w:r>
      <w:r>
        <w:rPr>
          <w:sz w:val="30"/>
          <w:szCs w:val="30"/>
        </w:rPr>
        <w:t>产要求。</w:t>
      </w:r>
    </w:p>
    <w:p>
      <w:pPr>
        <w:overflowPunct w:val="0"/>
        <w:topLinePunct/>
        <w:spacing w:line="520" w:lineRule="exact"/>
        <w:ind w:firstLine="576" w:firstLineChars="200"/>
        <w:rPr>
          <w:sz w:val="30"/>
          <w:szCs w:val="30"/>
        </w:rPr>
      </w:pPr>
      <w:r>
        <w:rPr>
          <w:sz w:val="30"/>
          <w:szCs w:val="30"/>
        </w:rPr>
        <w:t>4、运输核查：</w:t>
      </w:r>
      <w:r>
        <w:rPr>
          <w:spacing w:val="0"/>
          <w:sz w:val="30"/>
          <w:szCs w:val="30"/>
        </w:rPr>
        <w:t>调取厂区</w:t>
      </w:r>
      <w:r>
        <w:rPr>
          <w:sz w:val="30"/>
          <w:szCs w:val="30"/>
        </w:rPr>
        <w:t>货运进出口视频监控</w:t>
      </w:r>
      <w:r>
        <w:rPr>
          <w:spacing w:val="0"/>
          <w:sz w:val="30"/>
          <w:szCs w:val="30"/>
        </w:rPr>
        <w:t>记录，比对预警前后厂区</w:t>
      </w:r>
      <w:r>
        <w:rPr>
          <w:rFonts w:hint="eastAsia"/>
          <w:spacing w:val="0"/>
          <w:sz w:val="30"/>
          <w:szCs w:val="30"/>
          <w:lang w:eastAsia="zh-CN"/>
        </w:rPr>
        <w:t>汽车运输情况，检查</w:t>
      </w:r>
      <w:r>
        <w:rPr>
          <w:spacing w:val="0"/>
          <w:sz w:val="30"/>
          <w:szCs w:val="30"/>
        </w:rPr>
        <w:t>是否符合要求；现场抽查</w:t>
      </w:r>
      <w:r>
        <w:rPr>
          <w:rFonts w:hint="eastAsia"/>
          <w:spacing w:val="0"/>
          <w:sz w:val="30"/>
          <w:szCs w:val="30"/>
          <w:lang w:eastAsia="zh-CN"/>
        </w:rPr>
        <w:t>运输</w:t>
      </w:r>
      <w:r>
        <w:rPr>
          <w:spacing w:val="0"/>
          <w:sz w:val="30"/>
          <w:szCs w:val="30"/>
        </w:rPr>
        <w:t>车辆</w:t>
      </w:r>
      <w:r>
        <w:rPr>
          <w:rFonts w:hint="eastAsia"/>
          <w:spacing w:val="0"/>
          <w:sz w:val="30"/>
          <w:szCs w:val="30"/>
          <w:lang w:eastAsia="zh-CN"/>
        </w:rPr>
        <w:t>，</w:t>
      </w:r>
      <w:r>
        <w:rPr>
          <w:spacing w:val="0"/>
          <w:sz w:val="30"/>
          <w:szCs w:val="30"/>
        </w:rPr>
        <w:t>核查排放</w:t>
      </w:r>
      <w:r>
        <w:rPr>
          <w:rFonts w:hint="eastAsia"/>
          <w:spacing w:val="0"/>
          <w:sz w:val="30"/>
          <w:szCs w:val="30"/>
          <w:lang w:eastAsia="zh-CN"/>
        </w:rPr>
        <w:t>标准</w:t>
      </w:r>
      <w:r>
        <w:rPr>
          <w:spacing w:val="0"/>
          <w:sz w:val="30"/>
          <w:szCs w:val="30"/>
        </w:rPr>
        <w:t>是否符合要求。</w:t>
      </w:r>
    </w:p>
    <w:p>
      <w:pPr>
        <w:overflowPunct w:val="0"/>
        <w:topLinePunct/>
        <w:spacing w:line="460" w:lineRule="exact"/>
        <w:ind w:firstLine="576" w:firstLineChars="200"/>
        <w:outlineLvl w:val="1"/>
        <w:rPr>
          <w:rFonts w:eastAsia="黑体"/>
          <w:kern w:val="0"/>
          <w:sz w:val="30"/>
          <w:szCs w:val="30"/>
        </w:rPr>
      </w:pPr>
      <w:bookmarkStart w:id="83" w:name="_Toc121413360"/>
      <w:bookmarkStart w:id="84" w:name="_Toc4924"/>
      <w:r>
        <w:rPr>
          <w:rFonts w:eastAsia="黑体"/>
          <w:kern w:val="0"/>
          <w:sz w:val="30"/>
          <w:szCs w:val="30"/>
        </w:rPr>
        <w:t>七、有机化工</w:t>
      </w:r>
      <w:bookmarkEnd w:id="83"/>
      <w:bookmarkEnd w:id="84"/>
    </w:p>
    <w:p>
      <w:pPr>
        <w:overflowPunct w:val="0"/>
        <w:topLinePunct/>
        <w:spacing w:line="520" w:lineRule="exact"/>
        <w:ind w:firstLine="576" w:firstLineChars="200"/>
        <w:outlineLvl w:val="2"/>
        <w:rPr>
          <w:rFonts w:eastAsia="楷体_GB2312"/>
          <w:kern w:val="0"/>
          <w:sz w:val="30"/>
          <w:szCs w:val="30"/>
        </w:rPr>
      </w:pPr>
      <w:bookmarkStart w:id="85" w:name="_Toc121413361"/>
      <w:bookmarkStart w:id="86" w:name="_Toc3174"/>
      <w:r>
        <w:rPr>
          <w:rFonts w:eastAsia="楷体_GB2312"/>
          <w:kern w:val="0"/>
          <w:sz w:val="30"/>
          <w:szCs w:val="30"/>
        </w:rPr>
        <w:t>（一）适用范围</w:t>
      </w:r>
      <w:bookmarkEnd w:id="85"/>
      <w:bookmarkEnd w:id="86"/>
    </w:p>
    <w:p>
      <w:pPr>
        <w:tabs>
          <w:tab w:val="left" w:pos="1737"/>
        </w:tabs>
        <w:overflowPunct w:val="0"/>
        <w:topLinePunct/>
        <w:spacing w:line="520" w:lineRule="exact"/>
        <w:ind w:firstLine="600" w:firstLineChars="200"/>
        <w:rPr>
          <w:rFonts w:eastAsia="等线"/>
          <w:spacing w:val="0"/>
          <w:sz w:val="28"/>
          <w:szCs w:val="28"/>
        </w:rPr>
      </w:pPr>
      <w:r>
        <w:rPr>
          <w:rFonts w:hint="eastAsia"/>
          <w:spacing w:val="0"/>
          <w:sz w:val="30"/>
          <w:szCs w:val="30"/>
        </w:rPr>
        <w:t>适用于《国民经济行业分类》（GB/T4754-2017）中的</w:t>
      </w:r>
      <w:r>
        <w:rPr>
          <w:spacing w:val="0"/>
          <w:sz w:val="30"/>
          <w:szCs w:val="30"/>
        </w:rPr>
        <w:t>C26化学原料和化学制品制造业，包括C261基础化学原料制造、C266专用化学产品制造、C268日用化学产品制造行业等以有机及无机化学品为原料生产各种有机原料及产品的行业。不包括无机酸、无机碱和无机盐等无机化学产品制造。</w:t>
      </w:r>
    </w:p>
    <w:p>
      <w:pPr>
        <w:overflowPunct w:val="0"/>
        <w:topLinePunct/>
        <w:spacing w:line="520" w:lineRule="exact"/>
        <w:ind w:firstLine="576" w:firstLineChars="200"/>
        <w:outlineLvl w:val="2"/>
        <w:rPr>
          <w:rFonts w:eastAsia="楷体_GB2312"/>
          <w:kern w:val="0"/>
          <w:sz w:val="30"/>
          <w:szCs w:val="30"/>
        </w:rPr>
      </w:pPr>
      <w:bookmarkStart w:id="87" w:name="_Toc121413362"/>
      <w:bookmarkStart w:id="88" w:name="_Toc22627"/>
      <w:r>
        <w:rPr>
          <w:rFonts w:eastAsia="楷体_GB2312"/>
          <w:kern w:val="0"/>
          <w:sz w:val="30"/>
          <w:szCs w:val="30"/>
        </w:rPr>
        <w:t>（二）生产工艺</w:t>
      </w:r>
      <w:bookmarkEnd w:id="87"/>
      <w:bookmarkEnd w:id="88"/>
    </w:p>
    <w:p>
      <w:pPr>
        <w:overflowPunct w:val="0"/>
        <w:topLinePunct/>
        <w:spacing w:line="520" w:lineRule="exact"/>
        <w:ind w:firstLine="576" w:firstLineChars="200"/>
        <w:rPr>
          <w:sz w:val="30"/>
          <w:szCs w:val="30"/>
        </w:rPr>
      </w:pPr>
      <w:r>
        <w:rPr>
          <w:sz w:val="30"/>
          <w:szCs w:val="30"/>
        </w:rPr>
        <w:t>1、主要生产工艺：原料预处理/配料、化学反应、分离、精制、溶剂回收、干燥、包装等</w:t>
      </w:r>
      <w:r>
        <w:rPr>
          <w:rFonts w:hint="eastAsia"/>
          <w:sz w:val="30"/>
          <w:szCs w:val="30"/>
        </w:rPr>
        <w:t>。</w:t>
      </w:r>
    </w:p>
    <w:p>
      <w:pPr>
        <w:overflowPunct w:val="0"/>
        <w:topLinePunct/>
        <w:spacing w:line="520" w:lineRule="exact"/>
        <w:ind w:firstLine="576" w:firstLineChars="200"/>
        <w:rPr>
          <w:sz w:val="30"/>
          <w:szCs w:val="30"/>
        </w:rPr>
      </w:pPr>
      <w:r>
        <w:rPr>
          <w:sz w:val="30"/>
          <w:szCs w:val="30"/>
        </w:rPr>
        <w:t>2、主要原辅材料：有机及无机化学品、增溶剂、稀释剂、有机溶剂等</w:t>
      </w:r>
      <w:r>
        <w:rPr>
          <w:rFonts w:hint="eastAsia"/>
          <w:sz w:val="30"/>
          <w:szCs w:val="30"/>
        </w:rPr>
        <w:t>。</w:t>
      </w:r>
    </w:p>
    <w:p>
      <w:pPr>
        <w:overflowPunct w:val="0"/>
        <w:topLinePunct/>
        <w:spacing w:line="520" w:lineRule="exact"/>
        <w:ind w:firstLine="576" w:firstLineChars="200"/>
        <w:rPr>
          <w:sz w:val="30"/>
          <w:szCs w:val="30"/>
        </w:rPr>
      </w:pPr>
      <w:r>
        <w:rPr>
          <w:sz w:val="30"/>
          <w:szCs w:val="30"/>
        </w:rPr>
        <w:t>3、主要燃料/能源：煤、天然气、焦炭、重油、柴油、液化石油气、生物质、电、氢燃料等。</w:t>
      </w:r>
    </w:p>
    <w:p>
      <w:pPr>
        <w:overflowPunct w:val="0"/>
        <w:topLinePunct/>
        <w:spacing w:line="520" w:lineRule="exact"/>
        <w:ind w:firstLine="576" w:firstLineChars="200"/>
        <w:outlineLvl w:val="2"/>
        <w:rPr>
          <w:rFonts w:eastAsia="楷体_GB2312"/>
          <w:kern w:val="0"/>
          <w:sz w:val="30"/>
          <w:szCs w:val="30"/>
        </w:rPr>
      </w:pPr>
      <w:bookmarkStart w:id="89" w:name="_Toc29872"/>
      <w:bookmarkStart w:id="90" w:name="_Toc121413363"/>
      <w:r>
        <w:rPr>
          <w:rFonts w:eastAsia="楷体_GB2312"/>
          <w:kern w:val="0"/>
          <w:sz w:val="30"/>
          <w:szCs w:val="30"/>
        </w:rPr>
        <w:t>（三）主要污染物产排环节</w:t>
      </w:r>
      <w:bookmarkEnd w:id="89"/>
      <w:bookmarkEnd w:id="90"/>
    </w:p>
    <w:p>
      <w:pPr>
        <w:overflowPunct w:val="0"/>
        <w:topLinePunct/>
        <w:spacing w:line="520" w:lineRule="exact"/>
        <w:ind w:firstLine="576" w:firstLineChars="200"/>
        <w:rPr>
          <w:sz w:val="30"/>
          <w:szCs w:val="30"/>
        </w:rPr>
      </w:pPr>
      <w:r>
        <w:rPr>
          <w:sz w:val="30"/>
          <w:szCs w:val="30"/>
        </w:rPr>
        <w:t>化工生产过程中原料破碎、配料等工序排放颗粒物（</w:t>
      </w:r>
      <w:r>
        <w:rPr>
          <w:rFonts w:hint="eastAsia"/>
          <w:sz w:val="30"/>
          <w:szCs w:val="30"/>
        </w:rPr>
        <w:t>PM）</w:t>
      </w:r>
      <w:r>
        <w:rPr>
          <w:sz w:val="30"/>
          <w:szCs w:val="30"/>
        </w:rPr>
        <w:t>和</w:t>
      </w:r>
      <w:r>
        <w:rPr>
          <w:rFonts w:hint="eastAsia"/>
          <w:sz w:val="30"/>
          <w:szCs w:val="30"/>
        </w:rPr>
        <w:t>挥发性有机物（</w:t>
      </w:r>
      <w:r>
        <w:rPr>
          <w:sz w:val="30"/>
          <w:szCs w:val="30"/>
        </w:rPr>
        <w:t>VOCs</w:t>
      </w:r>
      <w:r>
        <w:rPr>
          <w:rFonts w:hint="eastAsia"/>
          <w:sz w:val="30"/>
          <w:szCs w:val="30"/>
        </w:rPr>
        <w:t>）</w:t>
      </w:r>
      <w:r>
        <w:rPr>
          <w:sz w:val="30"/>
          <w:szCs w:val="30"/>
        </w:rPr>
        <w:t>；生产过程中各类工业炉窑、反应釜、电解槽、烘干机、锅炉等工序排放</w:t>
      </w:r>
      <w:r>
        <w:rPr>
          <w:rFonts w:hint="eastAsia"/>
          <w:sz w:val="30"/>
          <w:szCs w:val="30"/>
        </w:rPr>
        <w:t>PM</w:t>
      </w:r>
      <w:r>
        <w:rPr>
          <w:sz w:val="30"/>
          <w:szCs w:val="30"/>
        </w:rPr>
        <w:t>、</w:t>
      </w:r>
      <w:r>
        <w:rPr>
          <w:rFonts w:hint="eastAsia"/>
          <w:sz w:val="30"/>
          <w:szCs w:val="30"/>
        </w:rPr>
        <w:t>二氧化硫（</w:t>
      </w:r>
      <w:r>
        <w:rPr>
          <w:sz w:val="30"/>
          <w:szCs w:val="30"/>
        </w:rPr>
        <w:t>SO</w:t>
      </w:r>
      <w:r>
        <w:rPr>
          <w:sz w:val="30"/>
          <w:szCs w:val="30"/>
          <w:vertAlign w:val="subscript"/>
        </w:rPr>
        <w:t>2</w:t>
      </w:r>
      <w:r>
        <w:rPr>
          <w:rFonts w:hint="eastAsia"/>
          <w:sz w:val="30"/>
          <w:szCs w:val="30"/>
        </w:rPr>
        <w:t>）</w:t>
      </w:r>
      <w:r>
        <w:rPr>
          <w:sz w:val="30"/>
          <w:szCs w:val="30"/>
        </w:rPr>
        <w:t>、</w:t>
      </w:r>
      <w:r>
        <w:rPr>
          <w:rFonts w:hint="eastAsia"/>
          <w:sz w:val="30"/>
          <w:szCs w:val="30"/>
        </w:rPr>
        <w:t>氮氧化物（</w:t>
      </w:r>
      <w:r>
        <w:rPr>
          <w:sz w:val="30"/>
          <w:szCs w:val="30"/>
        </w:rPr>
        <w:t>NO</w:t>
      </w:r>
      <w:r>
        <w:rPr>
          <w:i/>
          <w:iCs/>
          <w:sz w:val="30"/>
          <w:szCs w:val="30"/>
          <w:vertAlign w:val="subscript"/>
        </w:rPr>
        <w:t>x</w:t>
      </w:r>
      <w:r>
        <w:rPr>
          <w:rFonts w:hint="eastAsia"/>
          <w:sz w:val="30"/>
          <w:szCs w:val="30"/>
        </w:rPr>
        <w:t>）</w:t>
      </w:r>
      <w:r>
        <w:rPr>
          <w:sz w:val="30"/>
          <w:szCs w:val="30"/>
        </w:rPr>
        <w:t>和VOCs等污染物；有机化工原料和产品罐区排放VOCs。</w:t>
      </w:r>
    </w:p>
    <w:p>
      <w:pPr>
        <w:overflowPunct w:val="0"/>
        <w:topLinePunct/>
        <w:jc w:val="center"/>
        <w:rPr>
          <w:rFonts w:eastAsia="宋体"/>
          <w:kern w:val="0"/>
          <w:sz w:val="22"/>
          <w:szCs w:val="22"/>
        </w:rPr>
      </w:pPr>
      <w:r>
        <w:rPr>
          <w:kern w:val="0"/>
          <w:sz w:val="24"/>
          <w:szCs w:val="24"/>
        </w:rPr>
        <w:t>表7-1  有机化工行业主要废气排放节点及主要治理措施</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09"/>
        <w:gridCol w:w="1197"/>
        <w:gridCol w:w="2003"/>
        <w:gridCol w:w="1480"/>
        <w:gridCol w:w="3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黑体"/>
                <w:sz w:val="21"/>
                <w:szCs w:val="21"/>
              </w:rPr>
            </w:pPr>
            <w:r>
              <w:rPr>
                <w:rFonts w:hint="eastAsia" w:eastAsia="黑体"/>
                <w:sz w:val="21"/>
                <w:szCs w:val="21"/>
              </w:rPr>
              <w:t>序号</w:t>
            </w:r>
          </w:p>
        </w:tc>
        <w:tc>
          <w:tcPr>
            <w:tcW w:w="672"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黑体"/>
                <w:sz w:val="21"/>
                <w:szCs w:val="21"/>
              </w:rPr>
            </w:pPr>
            <w:r>
              <w:rPr>
                <w:rFonts w:hint="eastAsia" w:eastAsia="黑体"/>
                <w:sz w:val="21"/>
                <w:szCs w:val="21"/>
              </w:rPr>
              <w:t>生产工艺</w:t>
            </w:r>
          </w:p>
        </w:tc>
        <w:tc>
          <w:tcPr>
            <w:tcW w:w="1125"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黑体"/>
                <w:sz w:val="21"/>
                <w:szCs w:val="21"/>
              </w:rPr>
            </w:pPr>
            <w:r>
              <w:rPr>
                <w:rFonts w:hint="eastAsia" w:eastAsia="黑体"/>
                <w:sz w:val="21"/>
                <w:szCs w:val="21"/>
              </w:rPr>
              <w:t>主要排污节点</w:t>
            </w:r>
          </w:p>
        </w:tc>
        <w:tc>
          <w:tcPr>
            <w:tcW w:w="831"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黑体"/>
                <w:sz w:val="21"/>
                <w:szCs w:val="21"/>
              </w:rPr>
            </w:pPr>
            <w:r>
              <w:rPr>
                <w:rFonts w:hint="eastAsia" w:eastAsia="黑体"/>
                <w:sz w:val="21"/>
                <w:szCs w:val="21"/>
              </w:rPr>
              <w:t>主要污染物</w:t>
            </w:r>
          </w:p>
        </w:tc>
        <w:tc>
          <w:tcPr>
            <w:tcW w:w="2087"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黑体"/>
                <w:sz w:val="21"/>
                <w:szCs w:val="21"/>
              </w:rPr>
            </w:pPr>
            <w:r>
              <w:rPr>
                <w:rFonts w:hint="eastAsia" w:eastAsia="黑体"/>
                <w:sz w:val="21"/>
                <w:szCs w:val="21"/>
              </w:rPr>
              <w:t>主要治理措施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1</w:t>
            </w:r>
          </w:p>
        </w:tc>
        <w:tc>
          <w:tcPr>
            <w:tcW w:w="672"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配料</w:t>
            </w:r>
          </w:p>
        </w:tc>
        <w:tc>
          <w:tcPr>
            <w:tcW w:w="1125"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有机液体配料废气</w:t>
            </w:r>
          </w:p>
        </w:tc>
        <w:tc>
          <w:tcPr>
            <w:tcW w:w="831"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VOCs</w:t>
            </w:r>
          </w:p>
        </w:tc>
        <w:tc>
          <w:tcPr>
            <w:tcW w:w="2087"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冷凝回收+吸附再生、燃烧、富集+燃烧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p>
        </w:tc>
        <w:tc>
          <w:tcPr>
            <w:tcW w:w="672"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p>
        </w:tc>
        <w:tc>
          <w:tcPr>
            <w:tcW w:w="1125"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固体配料废气</w:t>
            </w:r>
          </w:p>
        </w:tc>
        <w:tc>
          <w:tcPr>
            <w:tcW w:w="831"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PM</w:t>
            </w:r>
          </w:p>
        </w:tc>
        <w:tc>
          <w:tcPr>
            <w:tcW w:w="2087"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多级过滤、袋式除尘、旋风除尘+袋式除尘、湿式除尘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2</w:t>
            </w:r>
          </w:p>
        </w:tc>
        <w:tc>
          <w:tcPr>
            <w:tcW w:w="672"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反应</w:t>
            </w:r>
          </w:p>
        </w:tc>
        <w:tc>
          <w:tcPr>
            <w:tcW w:w="1125"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反应废气</w:t>
            </w:r>
          </w:p>
        </w:tc>
        <w:tc>
          <w:tcPr>
            <w:tcW w:w="831"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VOCs</w:t>
            </w:r>
          </w:p>
        </w:tc>
        <w:tc>
          <w:tcPr>
            <w:tcW w:w="2087"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冷凝回收+吸附再生、燃烧、富集+燃烧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3</w:t>
            </w:r>
          </w:p>
        </w:tc>
        <w:tc>
          <w:tcPr>
            <w:tcW w:w="672"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分离</w:t>
            </w:r>
          </w:p>
        </w:tc>
        <w:tc>
          <w:tcPr>
            <w:tcW w:w="1125"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分离废气</w:t>
            </w:r>
          </w:p>
        </w:tc>
        <w:tc>
          <w:tcPr>
            <w:tcW w:w="831"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p>
        </w:tc>
        <w:tc>
          <w:tcPr>
            <w:tcW w:w="2087"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4</w:t>
            </w:r>
          </w:p>
        </w:tc>
        <w:tc>
          <w:tcPr>
            <w:tcW w:w="672"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精制</w:t>
            </w:r>
          </w:p>
        </w:tc>
        <w:tc>
          <w:tcPr>
            <w:tcW w:w="1125"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精制废气</w:t>
            </w:r>
          </w:p>
        </w:tc>
        <w:tc>
          <w:tcPr>
            <w:tcW w:w="831"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p>
        </w:tc>
        <w:tc>
          <w:tcPr>
            <w:tcW w:w="2087"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5</w:t>
            </w:r>
          </w:p>
        </w:tc>
        <w:tc>
          <w:tcPr>
            <w:tcW w:w="672"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干燥</w:t>
            </w:r>
          </w:p>
        </w:tc>
        <w:tc>
          <w:tcPr>
            <w:tcW w:w="1125"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干燥废气</w:t>
            </w:r>
          </w:p>
        </w:tc>
        <w:tc>
          <w:tcPr>
            <w:tcW w:w="831"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PM、VOCs</w:t>
            </w:r>
          </w:p>
        </w:tc>
        <w:tc>
          <w:tcPr>
            <w:tcW w:w="2087"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多级过滤、袋式除尘、旋风除尘+袋式除尘/冷凝回收+吸附再生、燃烧、富集+燃烧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6</w:t>
            </w:r>
          </w:p>
        </w:tc>
        <w:tc>
          <w:tcPr>
            <w:tcW w:w="672"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包装</w:t>
            </w:r>
          </w:p>
        </w:tc>
        <w:tc>
          <w:tcPr>
            <w:tcW w:w="1125"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包装废气</w:t>
            </w:r>
          </w:p>
        </w:tc>
        <w:tc>
          <w:tcPr>
            <w:tcW w:w="831"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PM</w:t>
            </w:r>
          </w:p>
        </w:tc>
        <w:tc>
          <w:tcPr>
            <w:tcW w:w="2087"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多级过滤、袋式除尘、旋风除尘+袋式除尘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p>
        </w:tc>
        <w:tc>
          <w:tcPr>
            <w:tcW w:w="672"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p>
        </w:tc>
        <w:tc>
          <w:tcPr>
            <w:tcW w:w="1125"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p>
        </w:tc>
        <w:tc>
          <w:tcPr>
            <w:tcW w:w="831"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VOCs</w:t>
            </w:r>
          </w:p>
        </w:tc>
        <w:tc>
          <w:tcPr>
            <w:tcW w:w="2087"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吸附、吸附+冷凝回收、燃烧、富集+燃烧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7</w:t>
            </w:r>
          </w:p>
        </w:tc>
        <w:tc>
          <w:tcPr>
            <w:tcW w:w="672"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溶剂回收</w:t>
            </w:r>
          </w:p>
        </w:tc>
        <w:tc>
          <w:tcPr>
            <w:tcW w:w="1125"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溶剂挥发、蒸馏精馏产生的不凝气</w:t>
            </w:r>
          </w:p>
        </w:tc>
        <w:tc>
          <w:tcPr>
            <w:tcW w:w="831"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VOCs</w:t>
            </w:r>
          </w:p>
        </w:tc>
        <w:tc>
          <w:tcPr>
            <w:tcW w:w="2087"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冷凝回收+吸附再生、吸附+冷凝回收、吸收+回收、燃烧、富集+燃烧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8</w:t>
            </w:r>
          </w:p>
        </w:tc>
        <w:tc>
          <w:tcPr>
            <w:tcW w:w="672"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VOCs物料装卸、转运</w:t>
            </w:r>
          </w:p>
        </w:tc>
        <w:tc>
          <w:tcPr>
            <w:tcW w:w="1125"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槽车</w:t>
            </w:r>
          </w:p>
        </w:tc>
        <w:tc>
          <w:tcPr>
            <w:tcW w:w="831"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VOCs</w:t>
            </w:r>
          </w:p>
        </w:tc>
        <w:tc>
          <w:tcPr>
            <w:tcW w:w="2087"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hint="eastAsia" w:eastAsia="仿宋_GB2312"/>
                <w:sz w:val="20"/>
                <w:lang w:eastAsia="zh-CN"/>
              </w:rPr>
            </w:pPr>
            <w:r>
              <w:rPr>
                <w:rFonts w:hint="eastAsia"/>
                <w:sz w:val="20"/>
              </w:rPr>
              <w:t>气相平衡、冷凝回收</w:t>
            </w:r>
            <w:r>
              <w:rPr>
                <w:rFonts w:hint="eastAsia"/>
                <w:sz w:val="20"/>
                <w:lang w:eastAsia="zh-CN"/>
              </w:rPr>
              <w:t>、</w:t>
            </w:r>
            <w:r>
              <w:rPr>
                <w:rFonts w:hint="eastAsia"/>
                <w:sz w:val="20"/>
              </w:rPr>
              <w:t>吸收+回收、燃烧、富集+燃烧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9</w:t>
            </w:r>
          </w:p>
        </w:tc>
        <w:tc>
          <w:tcPr>
            <w:tcW w:w="672"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VOCs物料储存</w:t>
            </w:r>
          </w:p>
        </w:tc>
        <w:tc>
          <w:tcPr>
            <w:tcW w:w="1125"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hint="eastAsia" w:eastAsia="仿宋_GB2312"/>
                <w:sz w:val="20"/>
                <w:lang w:eastAsia="zh-CN"/>
              </w:rPr>
            </w:pPr>
            <w:r>
              <w:rPr>
                <w:rFonts w:hint="eastAsia"/>
                <w:sz w:val="20"/>
                <w:lang w:eastAsia="zh-CN"/>
              </w:rPr>
              <w:t>储罐</w:t>
            </w:r>
          </w:p>
        </w:tc>
        <w:tc>
          <w:tcPr>
            <w:tcW w:w="831"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VOCs</w:t>
            </w:r>
          </w:p>
        </w:tc>
        <w:tc>
          <w:tcPr>
            <w:tcW w:w="2087"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hint="eastAsia" w:eastAsia="仿宋_GB2312"/>
                <w:sz w:val="20"/>
                <w:lang w:eastAsia="zh-CN"/>
              </w:rPr>
            </w:pPr>
            <w:r>
              <w:rPr>
                <w:rFonts w:hint="eastAsia"/>
                <w:sz w:val="20"/>
              </w:rPr>
              <w:t>固定顶罐呼吸气定期检测，并进行收集引入有机废气后处理装置，</w:t>
            </w:r>
            <w:r>
              <w:rPr>
                <w:rFonts w:hint="eastAsia"/>
                <w:sz w:val="20"/>
                <w:lang w:eastAsia="zh-CN"/>
              </w:rPr>
              <w:t>或</w:t>
            </w:r>
            <w:r>
              <w:rPr>
                <w:rFonts w:hint="eastAsia"/>
                <w:sz w:val="20"/>
              </w:rPr>
              <w:t>采用浮顶罐</w:t>
            </w:r>
            <w:r>
              <w:rPr>
                <w:rFonts w:hint="eastAsia"/>
                <w:sz w:val="20"/>
                <w:lang w:eastAsia="zh-CN"/>
              </w:rPr>
              <w:t>（内浮顶管、外浮顶罐）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10</w:t>
            </w:r>
          </w:p>
        </w:tc>
        <w:tc>
          <w:tcPr>
            <w:tcW w:w="672"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设备动静密封点泄漏</w:t>
            </w:r>
          </w:p>
        </w:tc>
        <w:tc>
          <w:tcPr>
            <w:tcW w:w="1125"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有机液体介质的机泵、阀门、法兰等动静密封泄漏排放</w:t>
            </w:r>
          </w:p>
        </w:tc>
        <w:tc>
          <w:tcPr>
            <w:tcW w:w="831"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VOCs</w:t>
            </w:r>
          </w:p>
        </w:tc>
        <w:tc>
          <w:tcPr>
            <w:tcW w:w="2087"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LDAR</w:t>
            </w:r>
            <w:r>
              <w:rPr>
                <w:rFonts w:hint="default"/>
                <w:sz w:val="20"/>
              </w:rPr>
              <w:t>泄漏</w:t>
            </w:r>
            <w:r>
              <w:rPr>
                <w:rFonts w:hint="eastAsia"/>
                <w:sz w:val="20"/>
              </w:rPr>
              <w:t>检测与修复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11</w:t>
            </w:r>
          </w:p>
        </w:tc>
        <w:tc>
          <w:tcPr>
            <w:tcW w:w="672"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废水收集及处理过程</w:t>
            </w:r>
          </w:p>
        </w:tc>
        <w:tc>
          <w:tcPr>
            <w:tcW w:w="1125"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lang w:eastAsia="zh-CN"/>
              </w:rPr>
              <w:t>高浓度</w:t>
            </w:r>
            <w:r>
              <w:rPr>
                <w:rFonts w:hint="eastAsia"/>
                <w:sz w:val="20"/>
              </w:rPr>
              <w:t>有机废气</w:t>
            </w:r>
          </w:p>
        </w:tc>
        <w:tc>
          <w:tcPr>
            <w:tcW w:w="831"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VOCs</w:t>
            </w:r>
          </w:p>
        </w:tc>
        <w:tc>
          <w:tcPr>
            <w:tcW w:w="2087"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冷凝回收+吸附再生、燃烧、富集+燃烧</w:t>
            </w:r>
            <w:r>
              <w:rPr>
                <w:rFonts w:hint="eastAsia"/>
                <w:sz w:val="20"/>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p>
        </w:tc>
        <w:tc>
          <w:tcPr>
            <w:tcW w:w="672"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p>
        </w:tc>
        <w:tc>
          <w:tcPr>
            <w:tcW w:w="1125"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lang w:eastAsia="zh-CN"/>
              </w:rPr>
              <w:t>低浓度</w:t>
            </w:r>
            <w:r>
              <w:rPr>
                <w:rFonts w:hint="eastAsia"/>
                <w:sz w:val="20"/>
              </w:rPr>
              <w:t>有机废气</w:t>
            </w:r>
          </w:p>
        </w:tc>
        <w:tc>
          <w:tcPr>
            <w:tcW w:w="831"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VOCs</w:t>
            </w:r>
          </w:p>
        </w:tc>
        <w:tc>
          <w:tcPr>
            <w:tcW w:w="2087"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lang w:val="en-US" w:eastAsia="zh-CN"/>
              </w:rPr>
              <w:t>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12</w:t>
            </w:r>
          </w:p>
        </w:tc>
        <w:tc>
          <w:tcPr>
            <w:tcW w:w="672"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危废间</w:t>
            </w:r>
          </w:p>
        </w:tc>
        <w:tc>
          <w:tcPr>
            <w:tcW w:w="1125"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危废</w:t>
            </w:r>
            <w:r>
              <w:rPr>
                <w:rFonts w:hint="eastAsia"/>
                <w:sz w:val="20"/>
                <w:lang w:eastAsia="zh-CN"/>
              </w:rPr>
              <w:t>有机</w:t>
            </w:r>
            <w:r>
              <w:rPr>
                <w:rFonts w:hint="eastAsia"/>
                <w:sz w:val="20"/>
              </w:rPr>
              <w:t>废气</w:t>
            </w:r>
          </w:p>
        </w:tc>
        <w:tc>
          <w:tcPr>
            <w:tcW w:w="831"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VOCs</w:t>
            </w:r>
          </w:p>
        </w:tc>
        <w:tc>
          <w:tcPr>
            <w:tcW w:w="2087"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hint="eastAsia" w:eastAsia="仿宋_GB2312"/>
                <w:sz w:val="20"/>
                <w:lang w:eastAsia="zh-CN"/>
              </w:rPr>
            </w:pPr>
            <w:r>
              <w:rPr>
                <w:rFonts w:hint="eastAsia"/>
                <w:sz w:val="20"/>
                <w:lang w:eastAsia="zh-CN"/>
              </w:rPr>
              <w:t>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13</w:t>
            </w:r>
          </w:p>
        </w:tc>
        <w:tc>
          <w:tcPr>
            <w:tcW w:w="672"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危险废物焚烧炉</w:t>
            </w:r>
          </w:p>
        </w:tc>
        <w:tc>
          <w:tcPr>
            <w:tcW w:w="1125"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焚烧炉烟气</w:t>
            </w:r>
          </w:p>
        </w:tc>
        <w:tc>
          <w:tcPr>
            <w:tcW w:w="831"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PM、SO</w:t>
            </w:r>
            <w:r>
              <w:rPr>
                <w:rFonts w:hint="eastAsia"/>
                <w:sz w:val="20"/>
                <w:vertAlign w:val="subscript"/>
              </w:rPr>
              <w:t>2</w:t>
            </w:r>
            <w:r>
              <w:rPr>
                <w:rFonts w:hint="eastAsia"/>
                <w:sz w:val="20"/>
              </w:rPr>
              <w:t>、NO</w:t>
            </w:r>
            <w:r>
              <w:rPr>
                <w:rFonts w:hint="eastAsia"/>
                <w:i/>
                <w:iCs/>
                <w:sz w:val="20"/>
                <w:vertAlign w:val="subscript"/>
              </w:rPr>
              <w:t>x</w:t>
            </w:r>
            <w:r>
              <w:rPr>
                <w:rFonts w:hint="eastAsia"/>
                <w:sz w:val="20"/>
              </w:rPr>
              <w:t>、VOCs等</w:t>
            </w:r>
          </w:p>
        </w:tc>
        <w:tc>
          <w:tcPr>
            <w:tcW w:w="2087"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静电除尘、袋式除尘等，石灰石/石灰-石膏湿法脱硫、双碱法脱硫等，低氮燃烧、SCR、SNCR等，吸收、吸附等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14</w:t>
            </w:r>
          </w:p>
        </w:tc>
        <w:tc>
          <w:tcPr>
            <w:tcW w:w="672"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锅炉</w:t>
            </w:r>
          </w:p>
        </w:tc>
        <w:tc>
          <w:tcPr>
            <w:tcW w:w="1125"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锅炉烟气</w:t>
            </w:r>
          </w:p>
        </w:tc>
        <w:tc>
          <w:tcPr>
            <w:tcW w:w="831"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SO</w:t>
            </w:r>
            <w:r>
              <w:rPr>
                <w:sz w:val="20"/>
                <w:vertAlign w:val="subscript"/>
              </w:rPr>
              <w:t>2</w:t>
            </w:r>
          </w:p>
        </w:tc>
        <w:tc>
          <w:tcPr>
            <w:tcW w:w="2087"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湿法脱硫（石灰石/石灰-石膏、氨法）、喷雾干燥法脱硫、循环流化床法脱硫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p>
        </w:tc>
        <w:tc>
          <w:tcPr>
            <w:tcW w:w="672"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p>
        </w:tc>
        <w:tc>
          <w:tcPr>
            <w:tcW w:w="1125"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p>
        </w:tc>
        <w:tc>
          <w:tcPr>
            <w:tcW w:w="831"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PM</w:t>
            </w:r>
          </w:p>
        </w:tc>
        <w:tc>
          <w:tcPr>
            <w:tcW w:w="2087"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hint="eastAsia" w:eastAsia="仿宋_GB2312"/>
                <w:sz w:val="20"/>
                <w:lang w:eastAsia="zh-CN"/>
              </w:rPr>
            </w:pPr>
            <w:r>
              <w:rPr>
                <w:rFonts w:hint="eastAsia"/>
                <w:sz w:val="20"/>
              </w:rPr>
              <w:t>电除尘、袋式除尘、电袋除尘</w:t>
            </w:r>
            <w:r>
              <w:rPr>
                <w:rFonts w:hint="eastAsia"/>
                <w:sz w:val="20"/>
                <w:lang w:eastAsia="zh-CN"/>
              </w:rPr>
              <w:t>、湿电除尘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86"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p>
        </w:tc>
        <w:tc>
          <w:tcPr>
            <w:tcW w:w="672"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p>
        </w:tc>
        <w:tc>
          <w:tcPr>
            <w:tcW w:w="1125"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p>
        </w:tc>
        <w:tc>
          <w:tcPr>
            <w:tcW w:w="831"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NO</w:t>
            </w:r>
            <w:r>
              <w:rPr>
                <w:rFonts w:cs="Times New Roman Bold Italic"/>
                <w:i/>
                <w:iCs/>
                <w:sz w:val="20"/>
                <w:vertAlign w:val="subscript"/>
              </w:rPr>
              <w:t>x</w:t>
            </w:r>
          </w:p>
        </w:tc>
        <w:tc>
          <w:tcPr>
            <w:tcW w:w="2087" w:type="pct"/>
            <w:tcBorders>
              <w:top w:val="single" w:color="auto" w:sz="4" w:space="0"/>
              <w:left w:val="single" w:color="auto" w:sz="4" w:space="0"/>
              <w:bottom w:val="single" w:color="auto" w:sz="4" w:space="0"/>
              <w:right w:val="single" w:color="auto" w:sz="4" w:space="0"/>
            </w:tcBorders>
            <w:vAlign w:val="center"/>
          </w:tcPr>
          <w:p>
            <w:pPr>
              <w:overflowPunct w:val="0"/>
              <w:topLinePunct/>
              <w:jc w:val="center"/>
              <w:rPr>
                <w:sz w:val="20"/>
              </w:rPr>
            </w:pPr>
            <w:r>
              <w:rPr>
                <w:rFonts w:hint="eastAsia"/>
                <w:sz w:val="20"/>
              </w:rPr>
              <w:t>低氮燃烧、SCR、SNCR</w:t>
            </w:r>
          </w:p>
        </w:tc>
      </w:tr>
    </w:tbl>
    <w:p>
      <w:pPr>
        <w:overflowPunct w:val="0"/>
        <w:topLinePunct/>
        <w:sectPr>
          <w:headerReference r:id="rId51" w:type="default"/>
          <w:footerReference r:id="rId53" w:type="default"/>
          <w:headerReference r:id="rId52" w:type="even"/>
          <w:footerReference r:id="rId54" w:type="even"/>
          <w:pgSz w:w="11910" w:h="16840"/>
          <w:pgMar w:top="2098" w:right="1474" w:bottom="1247" w:left="1588" w:header="851" w:footer="992" w:gutter="0"/>
          <w:cols w:space="720" w:num="1"/>
        </w:sectPr>
      </w:pPr>
    </w:p>
    <w:p>
      <w:pPr>
        <w:overflowPunct w:val="0"/>
        <w:topLinePunct/>
        <w:spacing w:line="360" w:lineRule="auto"/>
        <w:jc w:val="left"/>
        <w:outlineLvl w:val="2"/>
        <w:rPr>
          <w:rFonts w:eastAsia="楷体_GB2312"/>
          <w:kern w:val="0"/>
          <w:sz w:val="30"/>
          <w:szCs w:val="30"/>
        </w:rPr>
      </w:pPr>
      <w:bookmarkStart w:id="91" w:name="_Toc27377"/>
      <w:bookmarkStart w:id="92" w:name="_Toc121413364"/>
      <w:r>
        <w:rPr>
          <w:rFonts w:eastAsia="楷体_GB2312"/>
          <w:kern w:val="0"/>
          <w:sz w:val="30"/>
          <w:szCs w:val="30"/>
        </w:rPr>
        <w:t>（四）绩效分级指标</w:t>
      </w:r>
      <w:bookmarkEnd w:id="91"/>
      <w:bookmarkEnd w:id="92"/>
    </w:p>
    <w:p>
      <w:pPr>
        <w:overflowPunct w:val="0"/>
        <w:topLinePunct/>
        <w:jc w:val="center"/>
        <w:rPr>
          <w:rFonts w:eastAsia="黑体"/>
          <w:kern w:val="0"/>
          <w:sz w:val="24"/>
          <w:szCs w:val="24"/>
        </w:rPr>
      </w:pPr>
      <w:r>
        <w:rPr>
          <w:rFonts w:eastAsia="黑体"/>
          <w:kern w:val="0"/>
          <w:sz w:val="24"/>
          <w:szCs w:val="24"/>
        </w:rPr>
        <w:t>表7-2  有机化工企业绩效分级指标</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04"/>
        <w:gridCol w:w="4752"/>
        <w:gridCol w:w="5243"/>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blHeader/>
        </w:trPr>
        <w:tc>
          <w:tcPr>
            <w:tcW w:w="51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hint="default" w:eastAsia="黑体"/>
                <w:kern w:val="0"/>
                <w:sz w:val="21"/>
                <w:szCs w:val="21"/>
              </w:rPr>
            </w:pPr>
            <w:r>
              <w:rPr>
                <w:rFonts w:hint="default" w:eastAsia="黑体"/>
                <w:kern w:val="0"/>
                <w:sz w:val="21"/>
                <w:szCs w:val="21"/>
              </w:rPr>
              <w:t>差异化指标</w:t>
            </w:r>
          </w:p>
        </w:tc>
        <w:tc>
          <w:tcPr>
            <w:tcW w:w="175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hint="default" w:eastAsia="黑体"/>
                <w:kern w:val="0"/>
                <w:sz w:val="21"/>
                <w:szCs w:val="21"/>
              </w:rPr>
            </w:pPr>
            <w:r>
              <w:rPr>
                <w:rFonts w:hint="default" w:eastAsia="黑体"/>
                <w:kern w:val="0"/>
                <w:sz w:val="21"/>
                <w:szCs w:val="21"/>
              </w:rPr>
              <w:t>A级企业</w:t>
            </w:r>
          </w:p>
        </w:tc>
        <w:tc>
          <w:tcPr>
            <w:tcW w:w="193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hint="default" w:eastAsia="黑体"/>
                <w:kern w:val="0"/>
                <w:sz w:val="21"/>
                <w:szCs w:val="21"/>
              </w:rPr>
            </w:pPr>
            <w:r>
              <w:rPr>
                <w:rFonts w:hint="default" w:eastAsia="黑体"/>
                <w:kern w:val="0"/>
                <w:sz w:val="21"/>
                <w:szCs w:val="21"/>
              </w:rPr>
              <w:t>B级企业</w:t>
            </w:r>
          </w:p>
        </w:tc>
        <w:tc>
          <w:tcPr>
            <w:tcW w:w="7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hint="default" w:eastAsia="黑体"/>
                <w:kern w:val="0"/>
                <w:sz w:val="21"/>
                <w:szCs w:val="21"/>
              </w:rPr>
            </w:pPr>
            <w:r>
              <w:rPr>
                <w:rFonts w:hint="default" w:eastAsia="黑体"/>
                <w:kern w:val="0"/>
                <w:sz w:val="21"/>
                <w:szCs w:val="21"/>
              </w:rPr>
              <w:t>C级企业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1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能源类型</w:t>
            </w:r>
          </w:p>
        </w:tc>
        <w:tc>
          <w:tcPr>
            <w:tcW w:w="175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天然气、电。</w:t>
            </w:r>
          </w:p>
        </w:tc>
        <w:tc>
          <w:tcPr>
            <w:tcW w:w="193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天然气、电、低硫煤（硫含量低于1%）。</w:t>
            </w:r>
          </w:p>
        </w:tc>
        <w:tc>
          <w:tcPr>
            <w:tcW w:w="7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18"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生产工艺及装备水平</w:t>
            </w:r>
          </w:p>
        </w:tc>
        <w:tc>
          <w:tcPr>
            <w:tcW w:w="3687" w:type="pct"/>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1、属于《产业结构调整指导目录》鼓励类。</w:t>
            </w:r>
          </w:p>
        </w:tc>
        <w:tc>
          <w:tcPr>
            <w:tcW w:w="7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18"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p>
        </w:tc>
        <w:tc>
          <w:tcPr>
            <w:tcW w:w="175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lang w:val="en-US" w:eastAsia="zh-CN"/>
              </w:rPr>
              <w:t>2、</w:t>
            </w:r>
            <w:r>
              <w:rPr>
                <w:rFonts w:hint="eastAsia"/>
                <w:kern w:val="0"/>
                <w:sz w:val="20"/>
              </w:rPr>
              <w:t>采用密闭化、管道化（液态物料）、全自动生产线（涉VOC生产点）。</w:t>
            </w:r>
          </w:p>
        </w:tc>
        <w:tc>
          <w:tcPr>
            <w:tcW w:w="2728" w:type="pct"/>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kern w:val="0"/>
                <w:sz w:val="20"/>
              </w:rPr>
            </w:pPr>
            <w:r>
              <w:rPr>
                <w:rFonts w:hint="eastAsia"/>
                <w:kern w:val="0"/>
                <w:sz w:val="20"/>
              </w:rPr>
              <w:t>未达到A级要求。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1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工艺过程</w:t>
            </w:r>
          </w:p>
        </w:tc>
        <w:tc>
          <w:tcPr>
            <w:tcW w:w="175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90" w:lineRule="exact"/>
              <w:rPr>
                <w:kern w:val="0"/>
                <w:sz w:val="20"/>
              </w:rPr>
            </w:pPr>
            <w:r>
              <w:rPr>
                <w:rFonts w:hint="eastAsia"/>
                <w:kern w:val="0"/>
                <w:sz w:val="20"/>
              </w:rPr>
              <w:t>1、涉VOCs物料的投加和卸放、化学反应、萃取/提取、蒸馏/精馏、结晶以及配料、混合、搅拌、包装等过程，采用密闭设备，废气全部收集治理。</w:t>
            </w:r>
          </w:p>
          <w:p>
            <w:pPr>
              <w:overflowPunct w:val="0"/>
              <w:topLinePunct/>
              <w:spacing w:line="290" w:lineRule="exact"/>
              <w:rPr>
                <w:kern w:val="0"/>
                <w:sz w:val="20"/>
              </w:rPr>
            </w:pPr>
            <w:r>
              <w:rPr>
                <w:rFonts w:hint="eastAsia"/>
                <w:kern w:val="0"/>
                <w:sz w:val="20"/>
              </w:rPr>
              <w:t>2、涉VOCs物料的离心、过滤单元操作采用密闭式离心机、过滤机、真空泵等设备；干燥单元操作采用密闭干燥设备；密闭设备排放的废气排至VOCs废气收集处理系统。</w:t>
            </w:r>
          </w:p>
          <w:p>
            <w:pPr>
              <w:overflowPunct w:val="0"/>
              <w:topLinePunct/>
              <w:spacing w:line="290" w:lineRule="exact"/>
              <w:rPr>
                <w:kern w:val="0"/>
                <w:sz w:val="20"/>
              </w:rPr>
            </w:pPr>
            <w:r>
              <w:rPr>
                <w:rFonts w:hint="eastAsia"/>
                <w:kern w:val="0"/>
                <w:sz w:val="20"/>
              </w:rPr>
              <w:t>3、载有VOCs物料的设备及其管道在开停工（车）、检修、清洗时，含VOCs物料用密闭容器盛装，废气排至VOCs废气收集处理系统。</w:t>
            </w:r>
          </w:p>
          <w:p>
            <w:pPr>
              <w:overflowPunct w:val="0"/>
              <w:topLinePunct/>
              <w:spacing w:line="290" w:lineRule="exact"/>
              <w:rPr>
                <w:kern w:val="0"/>
                <w:sz w:val="20"/>
              </w:rPr>
            </w:pPr>
            <w:r>
              <w:rPr>
                <w:rFonts w:hint="eastAsia"/>
                <w:kern w:val="0"/>
                <w:sz w:val="20"/>
              </w:rPr>
              <w:t>4、液态VOCs物料采用密闭管道输送方式。</w:t>
            </w:r>
          </w:p>
          <w:p>
            <w:pPr>
              <w:overflowPunct w:val="0"/>
              <w:topLinePunct/>
              <w:spacing w:line="290" w:lineRule="exact"/>
              <w:rPr>
                <w:kern w:val="0"/>
                <w:sz w:val="20"/>
              </w:rPr>
            </w:pPr>
            <w:r>
              <w:rPr>
                <w:rFonts w:hint="eastAsia"/>
                <w:kern w:val="0"/>
                <w:sz w:val="20"/>
              </w:rPr>
              <w:t>5、粉状、粒状物料采用气力输送方式或密闭固体投料器等给料方式投加。</w:t>
            </w:r>
          </w:p>
          <w:p>
            <w:pPr>
              <w:overflowPunct w:val="0"/>
              <w:topLinePunct/>
              <w:spacing w:line="290" w:lineRule="exact"/>
              <w:rPr>
                <w:kern w:val="0"/>
                <w:sz w:val="20"/>
              </w:rPr>
            </w:pPr>
            <w:r>
              <w:rPr>
                <w:rFonts w:hint="eastAsia"/>
                <w:kern w:val="0"/>
                <w:sz w:val="20"/>
              </w:rPr>
              <w:t>6、反应尾气、蒸馏装置不凝气等工艺排气，工艺容器的置换气、吹扫气、抽真空排气等全部收集治理。</w:t>
            </w:r>
          </w:p>
        </w:tc>
        <w:tc>
          <w:tcPr>
            <w:tcW w:w="193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90" w:lineRule="exact"/>
              <w:rPr>
                <w:kern w:val="0"/>
                <w:sz w:val="20"/>
              </w:rPr>
            </w:pPr>
            <w:r>
              <w:rPr>
                <w:rFonts w:hint="eastAsia"/>
                <w:kern w:val="0"/>
                <w:sz w:val="20"/>
              </w:rPr>
              <w:t>1、涉VOCs物料的投加和卸放、化学反应、萃取/提取、蒸馏/精馏、结晶以及配料、混合、搅拌、包装等过程，采用密闭设备或在密闭空间内操作，废气全部收集治理。</w:t>
            </w:r>
          </w:p>
          <w:p>
            <w:pPr>
              <w:overflowPunct w:val="0"/>
              <w:topLinePunct/>
              <w:spacing w:line="290" w:lineRule="exact"/>
              <w:rPr>
                <w:kern w:val="0"/>
                <w:sz w:val="20"/>
              </w:rPr>
            </w:pPr>
            <w:r>
              <w:rPr>
                <w:rFonts w:hint="eastAsia"/>
                <w:kern w:val="0"/>
                <w:sz w:val="20"/>
              </w:rPr>
              <w:t>2、涉VOCs物料的离心、过滤单元操作采用密闭式离心机、过滤机</w:t>
            </w:r>
            <w:r>
              <w:rPr>
                <w:rFonts w:hint="eastAsia"/>
                <w:kern w:val="0"/>
                <w:sz w:val="20"/>
                <w:lang w:eastAsia="zh-CN"/>
              </w:rPr>
              <w:t>、真空泵</w:t>
            </w:r>
            <w:r>
              <w:rPr>
                <w:rFonts w:hint="eastAsia"/>
                <w:kern w:val="0"/>
                <w:sz w:val="20"/>
              </w:rPr>
              <w:t>等设备，或在密闭空间内操作；干燥单元操作采用密闭干燥设备，或在密闭空间内操作，废气排至VOCs废气收集处理系统。</w:t>
            </w:r>
          </w:p>
          <w:p>
            <w:pPr>
              <w:overflowPunct w:val="0"/>
              <w:topLinePunct/>
              <w:spacing w:line="290" w:lineRule="exact"/>
              <w:rPr>
                <w:kern w:val="0"/>
                <w:sz w:val="20"/>
              </w:rPr>
            </w:pPr>
            <w:r>
              <w:rPr>
                <w:rFonts w:hint="eastAsia"/>
                <w:kern w:val="0"/>
                <w:sz w:val="20"/>
              </w:rPr>
              <w:t>3、同A级第3条要求。</w:t>
            </w:r>
          </w:p>
          <w:p>
            <w:pPr>
              <w:overflowPunct w:val="0"/>
              <w:topLinePunct/>
              <w:spacing w:line="290" w:lineRule="exact"/>
              <w:rPr>
                <w:kern w:val="0"/>
                <w:sz w:val="20"/>
              </w:rPr>
            </w:pPr>
            <w:r>
              <w:rPr>
                <w:rFonts w:hint="eastAsia"/>
                <w:kern w:val="0"/>
                <w:sz w:val="20"/>
              </w:rPr>
              <w:t>4、液态VOCs物料采用高位槽（罐）、桶泵等给料方式密闭投加，进料时置换的废气应排至VOCs废气收集处理系统或气相平衡系统。</w:t>
            </w:r>
          </w:p>
          <w:p>
            <w:pPr>
              <w:overflowPunct w:val="0"/>
              <w:topLinePunct/>
              <w:spacing w:line="290" w:lineRule="exact"/>
              <w:rPr>
                <w:kern w:val="0"/>
                <w:sz w:val="20"/>
              </w:rPr>
            </w:pPr>
            <w:r>
              <w:rPr>
                <w:rFonts w:hint="eastAsia"/>
                <w:kern w:val="0"/>
                <w:sz w:val="20"/>
              </w:rPr>
              <w:t>5、粉状、粒状物料采用气力输送方式或密闭固体投料器等给料方式投加，无法密闭投加的，设置集气罩收集并接入后处理装置。</w:t>
            </w:r>
          </w:p>
          <w:p>
            <w:pPr>
              <w:overflowPunct w:val="0"/>
              <w:topLinePunct/>
              <w:spacing w:line="290" w:lineRule="exact"/>
              <w:rPr>
                <w:kern w:val="0"/>
                <w:sz w:val="20"/>
              </w:rPr>
            </w:pPr>
            <w:r>
              <w:rPr>
                <w:rFonts w:hint="eastAsia"/>
                <w:kern w:val="0"/>
                <w:sz w:val="20"/>
              </w:rPr>
              <w:t>6、同A级第6条要求。</w:t>
            </w:r>
          </w:p>
        </w:tc>
        <w:tc>
          <w:tcPr>
            <w:tcW w:w="7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1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10" w:lineRule="exact"/>
              <w:jc w:val="center"/>
              <w:rPr>
                <w:rFonts w:eastAsia="黑体"/>
                <w:kern w:val="0"/>
                <w:sz w:val="20"/>
              </w:rPr>
            </w:pPr>
            <w:r>
              <w:rPr>
                <w:rFonts w:hint="eastAsia" w:eastAsia="黑体"/>
                <w:kern w:val="0"/>
                <w:sz w:val="20"/>
              </w:rPr>
              <w:t>泄漏检测与修复</w:t>
            </w:r>
          </w:p>
        </w:tc>
        <w:tc>
          <w:tcPr>
            <w:tcW w:w="175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90" w:lineRule="exact"/>
              <w:rPr>
                <w:kern w:val="0"/>
                <w:sz w:val="20"/>
              </w:rPr>
            </w:pPr>
            <w:r>
              <w:rPr>
                <w:rFonts w:hint="eastAsia"/>
                <w:kern w:val="0"/>
                <w:sz w:val="20"/>
              </w:rPr>
              <w:t>涉VOCs物料企业按照《挥发性有机物无组织排放控制标准》（GB37822-2019）相关要求，开展泄漏检测与修复工作。动静密封点在1000个及以上的企业建立LDAR管理平台，动静密封点在1000个以下的企业建立LDAR电子台账。</w:t>
            </w:r>
          </w:p>
        </w:tc>
        <w:tc>
          <w:tcPr>
            <w:tcW w:w="193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90" w:lineRule="exact"/>
              <w:rPr>
                <w:kern w:val="0"/>
                <w:sz w:val="20"/>
              </w:rPr>
            </w:pPr>
            <w:r>
              <w:rPr>
                <w:rFonts w:hint="eastAsia"/>
                <w:kern w:val="0"/>
                <w:sz w:val="20"/>
              </w:rPr>
              <w:t>涉VOCs物料企业按照《挥发性有机物无组织排放控制标准》（GB37822-2019）相关要求，开展泄漏检测与修复工作。动静密封点在2000个及以上的企业建立LDAR管理平台，动静密封点在2000个以下的企业建立LDAR电子台账。</w:t>
            </w:r>
          </w:p>
        </w:tc>
        <w:tc>
          <w:tcPr>
            <w:tcW w:w="7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1" w:hRule="atLeast"/>
        </w:trPr>
        <w:tc>
          <w:tcPr>
            <w:tcW w:w="51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90" w:lineRule="exact"/>
              <w:jc w:val="center"/>
              <w:rPr>
                <w:rFonts w:eastAsia="黑体"/>
                <w:kern w:val="0"/>
                <w:sz w:val="20"/>
              </w:rPr>
            </w:pPr>
            <w:r>
              <w:rPr>
                <w:rFonts w:hint="eastAsia" w:eastAsia="黑体"/>
                <w:kern w:val="0"/>
                <w:sz w:val="20"/>
              </w:rPr>
              <w:t>工艺有机废气治理</w:t>
            </w:r>
          </w:p>
        </w:tc>
        <w:tc>
          <w:tcPr>
            <w:tcW w:w="175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90" w:lineRule="exact"/>
              <w:rPr>
                <w:spacing w:val="0"/>
                <w:sz w:val="20"/>
              </w:rPr>
            </w:pPr>
            <w:r>
              <w:rPr>
                <w:rFonts w:hint="eastAsia"/>
                <w:spacing w:val="0"/>
                <w:sz w:val="20"/>
              </w:rPr>
              <w:t>配料、反应、分离、提取、精制、干燥、溶剂回收等工艺有机废气全部密闭收集并引至有机废气治理设施，采用冷凝、吸收、</w:t>
            </w:r>
            <w:r>
              <w:rPr>
                <w:rFonts w:hint="eastAsia"/>
                <w:spacing w:val="0"/>
                <w:sz w:val="20"/>
                <w:lang w:eastAsia="zh-CN"/>
              </w:rPr>
              <w:t>吸附</w:t>
            </w:r>
            <w:r>
              <w:rPr>
                <w:rFonts w:hint="eastAsia"/>
                <w:spacing w:val="0"/>
                <w:sz w:val="20"/>
              </w:rPr>
              <w:t>浓缩、燃烧等组合处理工艺，处理效率应不低于90%，或送至工艺加热炉、锅炉、焚烧炉直接燃烧处理。</w:t>
            </w:r>
          </w:p>
        </w:tc>
        <w:tc>
          <w:tcPr>
            <w:tcW w:w="193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90" w:lineRule="exact"/>
              <w:rPr>
                <w:spacing w:val="0"/>
                <w:sz w:val="20"/>
              </w:rPr>
            </w:pPr>
            <w:r>
              <w:rPr>
                <w:rFonts w:hint="eastAsia"/>
                <w:spacing w:val="0"/>
                <w:sz w:val="20"/>
              </w:rPr>
              <w:t>配料、反应、分离、提取、精制、干燥、溶剂回收等工艺有机废气全部收集并引至有机废气治理设施，采用冷凝、吸收、吸附等组合处理工艺，处理效率应不低于80%。</w:t>
            </w:r>
          </w:p>
        </w:tc>
        <w:tc>
          <w:tcPr>
            <w:tcW w:w="7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1" w:hRule="atLeast"/>
        </w:trPr>
        <w:tc>
          <w:tcPr>
            <w:tcW w:w="51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90" w:lineRule="exact"/>
              <w:jc w:val="center"/>
              <w:rPr>
                <w:rFonts w:hint="eastAsia" w:eastAsia="黑体"/>
                <w:kern w:val="0"/>
                <w:sz w:val="20"/>
                <w:lang w:eastAsia="zh-CN"/>
              </w:rPr>
            </w:pPr>
            <w:r>
              <w:rPr>
                <w:rFonts w:hint="eastAsia" w:eastAsia="黑体"/>
                <w:kern w:val="0"/>
                <w:sz w:val="20"/>
                <w:lang w:eastAsia="zh-CN"/>
              </w:rPr>
              <w:t>挥发性有机液体储罐</w:t>
            </w:r>
          </w:p>
        </w:tc>
        <w:tc>
          <w:tcPr>
            <w:tcW w:w="175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90" w:lineRule="exact"/>
              <w:rPr>
                <w:kern w:val="0"/>
                <w:sz w:val="20"/>
              </w:rPr>
            </w:pPr>
            <w:r>
              <w:rPr>
                <w:rFonts w:hint="eastAsia"/>
                <w:kern w:val="0"/>
                <w:sz w:val="20"/>
              </w:rPr>
              <w:t>1、对于储存物料的真实蒸气压≥27.6kPa但＜76.6kPa的有机液体储罐，采用高级密封方式的浮顶罐，或采用固定顶罐安装密闭排气系统至有机废气治理设施，或采用气相平衡系统，或其他等效措施，并对呼吸废气进行收集处理。</w:t>
            </w:r>
          </w:p>
          <w:p>
            <w:pPr>
              <w:overflowPunct w:val="0"/>
              <w:topLinePunct/>
              <w:spacing w:line="290" w:lineRule="exact"/>
              <w:rPr>
                <w:rFonts w:hint="eastAsia"/>
                <w:kern w:val="0"/>
                <w:sz w:val="20"/>
              </w:rPr>
            </w:pPr>
            <w:r>
              <w:rPr>
                <w:rFonts w:hint="eastAsia"/>
                <w:kern w:val="0"/>
                <w:sz w:val="20"/>
              </w:rPr>
              <w:t>2、符合第1条的固定顶罐排气采用燃烧工艺（包括直接燃烧、催化燃烧和蓄热燃烧）进行最终处理，或送工艺加热炉、锅炉、焚烧炉等燃烧处理。</w:t>
            </w:r>
          </w:p>
          <w:p>
            <w:pPr>
              <w:overflowPunct w:val="0"/>
              <w:topLinePunct/>
              <w:spacing w:line="290" w:lineRule="exact"/>
              <w:rPr>
                <w:rFonts w:hint="eastAsia" w:ascii="Times New Roman" w:hAnsi="Times New Roman" w:eastAsia="仿宋_GB2312" w:cs="Times New Roman"/>
                <w:spacing w:val="-6"/>
                <w:kern w:val="0"/>
                <w:sz w:val="20"/>
                <w:lang w:val="en-US" w:eastAsia="zh-CN" w:bidi="ar-SA"/>
              </w:rPr>
            </w:pPr>
            <w:r>
              <w:rPr>
                <w:rFonts w:hint="eastAsia"/>
                <w:kern w:val="0"/>
                <w:sz w:val="20"/>
                <w:lang w:val="en-US" w:eastAsia="zh-CN"/>
              </w:rPr>
              <w:t>3、</w:t>
            </w:r>
            <w:r>
              <w:rPr>
                <w:rFonts w:hint="eastAsia"/>
                <w:kern w:val="0"/>
                <w:sz w:val="20"/>
              </w:rPr>
              <w:t>对于储存物料的真实蒸气压≥76.6kPa的有机液体储罐采用压力罐或其他等效措施。</w:t>
            </w:r>
          </w:p>
        </w:tc>
        <w:tc>
          <w:tcPr>
            <w:tcW w:w="193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90" w:lineRule="exact"/>
              <w:rPr>
                <w:kern w:val="0"/>
                <w:sz w:val="20"/>
              </w:rPr>
            </w:pPr>
            <w:r>
              <w:rPr>
                <w:rFonts w:hint="eastAsia"/>
                <w:kern w:val="0"/>
                <w:sz w:val="20"/>
              </w:rPr>
              <w:t>1、同A级第1条要求。</w:t>
            </w:r>
          </w:p>
          <w:p>
            <w:pPr>
              <w:overflowPunct w:val="0"/>
              <w:topLinePunct/>
              <w:spacing w:line="290" w:lineRule="exact"/>
              <w:rPr>
                <w:rFonts w:hint="eastAsia"/>
                <w:kern w:val="0"/>
                <w:sz w:val="20"/>
              </w:rPr>
            </w:pPr>
            <w:r>
              <w:rPr>
                <w:rFonts w:hint="eastAsia"/>
                <w:kern w:val="0"/>
                <w:sz w:val="20"/>
              </w:rPr>
              <w:t>2、符合第1条的固定顶罐排气采用吸收、吸附、冷凝、膜分离等组合工艺，处理效率应不低于80%。</w:t>
            </w:r>
          </w:p>
          <w:p>
            <w:pPr>
              <w:overflowPunct w:val="0"/>
              <w:topLinePunct/>
              <w:spacing w:line="290" w:lineRule="exact"/>
              <w:rPr>
                <w:rFonts w:hint="eastAsia" w:ascii="Times New Roman" w:hAnsi="Times New Roman" w:eastAsia="仿宋_GB2312" w:cs="Times New Roman"/>
                <w:spacing w:val="-6"/>
                <w:kern w:val="0"/>
                <w:sz w:val="20"/>
                <w:lang w:val="en-US" w:eastAsia="zh-CN" w:bidi="ar-SA"/>
              </w:rPr>
            </w:pPr>
            <w:r>
              <w:rPr>
                <w:rFonts w:hint="eastAsia"/>
                <w:kern w:val="0"/>
                <w:sz w:val="20"/>
                <w:lang w:val="en-US" w:eastAsia="zh-CN"/>
              </w:rPr>
              <w:t>3、同A级第3条要求。</w:t>
            </w:r>
          </w:p>
        </w:tc>
        <w:tc>
          <w:tcPr>
            <w:tcW w:w="7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rFonts w:hint="eastAsia" w:ascii="Times New Roman" w:hAnsi="Times New Roman" w:eastAsia="仿宋_GB2312" w:cs="Times New Roman"/>
                <w:spacing w:val="-6"/>
                <w:kern w:val="0"/>
                <w:sz w:val="20"/>
                <w:lang w:val="en-US" w:eastAsia="zh-CN" w:bidi="ar-SA"/>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1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90" w:lineRule="exact"/>
              <w:jc w:val="center"/>
              <w:rPr>
                <w:rFonts w:eastAsia="黑体"/>
                <w:kern w:val="0"/>
                <w:sz w:val="20"/>
              </w:rPr>
            </w:pPr>
            <w:r>
              <w:rPr>
                <w:rFonts w:hint="eastAsia" w:eastAsia="黑体"/>
                <w:kern w:val="0"/>
                <w:sz w:val="20"/>
              </w:rPr>
              <w:t>挥发性有机液体装卸</w:t>
            </w:r>
          </w:p>
        </w:tc>
        <w:tc>
          <w:tcPr>
            <w:tcW w:w="175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90" w:lineRule="exact"/>
              <w:rPr>
                <w:kern w:val="0"/>
                <w:sz w:val="20"/>
              </w:rPr>
            </w:pPr>
            <w:r>
              <w:rPr>
                <w:rFonts w:hint="eastAsia"/>
                <w:kern w:val="0"/>
                <w:sz w:val="20"/>
              </w:rPr>
              <w:t>1、对于真实蒸气压≥2.8kPa但＜76.6kPa的挥发性有机液体采用底部装载或顶部浸没式装载（出料管口距离槽（罐）底部高度＜200mm）</w:t>
            </w:r>
            <w:r>
              <w:rPr>
                <w:rFonts w:hint="eastAsia"/>
                <w:kern w:val="0"/>
                <w:sz w:val="20"/>
                <w:lang w:eastAsia="zh-CN"/>
              </w:rPr>
              <w:t>，</w:t>
            </w:r>
            <w:r>
              <w:rPr>
                <w:rFonts w:hint="eastAsia"/>
                <w:kern w:val="0"/>
                <w:sz w:val="20"/>
              </w:rPr>
              <w:t>排放的</w:t>
            </w:r>
            <w:r>
              <w:rPr>
                <w:rFonts w:hint="eastAsia"/>
                <w:kern w:val="0"/>
                <w:sz w:val="20"/>
                <w:lang w:eastAsia="zh-CN"/>
              </w:rPr>
              <w:t>有机</w:t>
            </w:r>
            <w:r>
              <w:rPr>
                <w:rFonts w:hint="eastAsia"/>
                <w:kern w:val="0"/>
                <w:sz w:val="20"/>
              </w:rPr>
              <w:t>废气应收集处理，处理效率应不低于80%。</w:t>
            </w:r>
          </w:p>
          <w:p>
            <w:pPr>
              <w:overflowPunct w:val="0"/>
              <w:topLinePunct/>
              <w:spacing w:line="290" w:lineRule="exact"/>
              <w:rPr>
                <w:kern w:val="0"/>
                <w:sz w:val="20"/>
              </w:rPr>
            </w:pPr>
            <w:r>
              <w:rPr>
                <w:rFonts w:hint="eastAsia"/>
                <w:kern w:val="0"/>
                <w:sz w:val="20"/>
              </w:rPr>
              <w:t>2、</w:t>
            </w:r>
            <w:r>
              <w:rPr>
                <w:rFonts w:hint="eastAsia"/>
                <w:kern w:val="0"/>
                <w:sz w:val="20"/>
                <w:lang w:eastAsia="zh-CN"/>
              </w:rPr>
              <w:t>废气</w:t>
            </w:r>
            <w:r>
              <w:rPr>
                <w:rFonts w:hint="eastAsia"/>
                <w:kern w:val="0"/>
                <w:sz w:val="20"/>
              </w:rPr>
              <w:t>采用吸收、吸附、冷凝、膜分离等预处理后，采用燃烧工艺（包括直接燃烧、催化燃烧和蓄热燃烧）进行最终处理，或送工艺加热炉、锅炉、焚烧炉等燃烧处理。</w:t>
            </w:r>
          </w:p>
        </w:tc>
        <w:tc>
          <w:tcPr>
            <w:tcW w:w="193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90" w:lineRule="exact"/>
              <w:rPr>
                <w:kern w:val="0"/>
                <w:sz w:val="20"/>
              </w:rPr>
            </w:pPr>
            <w:r>
              <w:rPr>
                <w:rFonts w:hint="eastAsia"/>
                <w:kern w:val="0"/>
                <w:sz w:val="20"/>
              </w:rPr>
              <w:t>1、同A级第1条要求。</w:t>
            </w:r>
          </w:p>
          <w:p>
            <w:pPr>
              <w:overflowPunct w:val="0"/>
              <w:topLinePunct/>
              <w:spacing w:line="290" w:lineRule="exact"/>
              <w:rPr>
                <w:kern w:val="0"/>
                <w:sz w:val="20"/>
              </w:rPr>
            </w:pPr>
            <w:r>
              <w:rPr>
                <w:rFonts w:hint="eastAsia"/>
                <w:kern w:val="0"/>
                <w:sz w:val="20"/>
              </w:rPr>
              <w:t>2、</w:t>
            </w:r>
            <w:r>
              <w:rPr>
                <w:rFonts w:hint="eastAsia"/>
                <w:kern w:val="0"/>
                <w:sz w:val="20"/>
                <w:lang w:eastAsia="zh-CN"/>
              </w:rPr>
              <w:t>废</w:t>
            </w:r>
            <w:r>
              <w:rPr>
                <w:rFonts w:hint="eastAsia"/>
                <w:kern w:val="0"/>
                <w:sz w:val="20"/>
              </w:rPr>
              <w:t>气采用吸收、吸附、冷凝、膜分离等组合工艺。</w:t>
            </w:r>
          </w:p>
        </w:tc>
        <w:tc>
          <w:tcPr>
            <w:tcW w:w="7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1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90" w:lineRule="exact"/>
              <w:jc w:val="center"/>
              <w:rPr>
                <w:rFonts w:eastAsia="黑体"/>
                <w:kern w:val="0"/>
                <w:sz w:val="20"/>
              </w:rPr>
            </w:pPr>
            <w:r>
              <w:rPr>
                <w:rFonts w:hint="eastAsia" w:eastAsia="黑体"/>
                <w:kern w:val="0"/>
                <w:sz w:val="20"/>
              </w:rPr>
              <w:t>污水收集和处理</w:t>
            </w:r>
          </w:p>
        </w:tc>
        <w:tc>
          <w:tcPr>
            <w:tcW w:w="175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90" w:lineRule="exact"/>
              <w:rPr>
                <w:kern w:val="0"/>
                <w:sz w:val="20"/>
              </w:rPr>
            </w:pPr>
            <w:r>
              <w:rPr>
                <w:rFonts w:hint="eastAsia"/>
                <w:kern w:val="0"/>
                <w:sz w:val="20"/>
              </w:rPr>
              <w:t>1、含VOCs废水采用密闭管道输送。</w:t>
            </w:r>
          </w:p>
          <w:p>
            <w:pPr>
              <w:overflowPunct w:val="0"/>
              <w:topLinePunct/>
              <w:spacing w:line="290" w:lineRule="exact"/>
              <w:rPr>
                <w:kern w:val="0"/>
                <w:sz w:val="20"/>
              </w:rPr>
            </w:pPr>
            <w:r>
              <w:rPr>
                <w:rFonts w:hint="eastAsia"/>
                <w:kern w:val="0"/>
                <w:sz w:val="20"/>
              </w:rPr>
              <w:t>2、废水储存、处理设施应加盖密闭，并密闭排气至有机废气治理设施。</w:t>
            </w:r>
          </w:p>
          <w:p>
            <w:pPr>
              <w:overflowPunct w:val="0"/>
              <w:topLinePunct/>
              <w:spacing w:line="290" w:lineRule="exact"/>
              <w:rPr>
                <w:kern w:val="0"/>
                <w:sz w:val="20"/>
              </w:rPr>
            </w:pPr>
            <w:r>
              <w:rPr>
                <w:rFonts w:hint="eastAsia"/>
                <w:kern w:val="0"/>
                <w:sz w:val="20"/>
              </w:rPr>
              <w:t>3、污水处理站集水井（池）、调节池、隔油池、气浮池、浓缩池等高浓度VOCs废气采用燃烧工艺或送加热炉、锅炉、焚烧炉燃烧处理；低浓度VOCs废气采用活性炭吸附</w:t>
            </w:r>
            <w:r>
              <w:rPr>
                <w:rFonts w:hint="eastAsia"/>
                <w:kern w:val="0"/>
                <w:sz w:val="20"/>
                <w:lang w:eastAsia="zh-CN"/>
              </w:rPr>
              <w:t>（</w:t>
            </w:r>
            <w:r>
              <w:rPr>
                <w:rFonts w:hint="eastAsia"/>
                <w:b w:val="0"/>
                <w:bCs w:val="0"/>
                <w:sz w:val="20"/>
                <w:szCs w:val="20"/>
                <w:lang w:val="en-US" w:eastAsia="zh-CN"/>
              </w:rPr>
              <w:t>采用颗粒状活性炭要求碘值不低于800 mg/g，采用蜂窝状活性炭要求碘值不低于650 mg/g，且预处理单元应配备温湿度仪及压差表</w:t>
            </w:r>
            <w:r>
              <w:rPr>
                <w:rFonts w:hint="eastAsia"/>
                <w:kern w:val="0"/>
                <w:sz w:val="20"/>
                <w:lang w:eastAsia="zh-CN"/>
              </w:rPr>
              <w:t>）</w:t>
            </w:r>
            <w:r>
              <w:rPr>
                <w:rFonts w:hint="eastAsia"/>
                <w:kern w:val="0"/>
                <w:sz w:val="20"/>
              </w:rPr>
              <w:t>、生物法或其他有效的治理措施。</w:t>
            </w:r>
          </w:p>
          <w:p>
            <w:pPr>
              <w:overflowPunct w:val="0"/>
              <w:topLinePunct/>
              <w:spacing w:line="290" w:lineRule="exact"/>
              <w:rPr>
                <w:kern w:val="0"/>
                <w:sz w:val="20"/>
              </w:rPr>
            </w:pPr>
            <w:r>
              <w:rPr>
                <w:rFonts w:hint="eastAsia"/>
                <w:kern w:val="0"/>
                <w:sz w:val="20"/>
              </w:rPr>
              <w:t>4、臭气处理可以选用低温等离子、光催化、光氧化等处理措施。</w:t>
            </w:r>
          </w:p>
        </w:tc>
        <w:tc>
          <w:tcPr>
            <w:tcW w:w="193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90" w:lineRule="exact"/>
              <w:rPr>
                <w:kern w:val="0"/>
                <w:sz w:val="20"/>
              </w:rPr>
            </w:pPr>
            <w:r>
              <w:rPr>
                <w:rFonts w:hint="eastAsia"/>
                <w:kern w:val="0"/>
                <w:sz w:val="20"/>
              </w:rPr>
              <w:t>1、含VOCs废水采用</w:t>
            </w:r>
            <w:r>
              <w:rPr>
                <w:rFonts w:hint="eastAsia"/>
                <w:kern w:val="0"/>
                <w:sz w:val="20"/>
                <w:lang w:eastAsia="zh-CN"/>
              </w:rPr>
              <w:t>密闭管道输送或沟渠输送，采用</w:t>
            </w:r>
            <w:r>
              <w:rPr>
                <w:rFonts w:hint="eastAsia"/>
                <w:kern w:val="0"/>
                <w:sz w:val="20"/>
              </w:rPr>
              <w:t>沟渠输送</w:t>
            </w:r>
            <w:r>
              <w:rPr>
                <w:rFonts w:hint="eastAsia"/>
                <w:kern w:val="0"/>
                <w:sz w:val="20"/>
                <w:lang w:eastAsia="zh-CN"/>
              </w:rPr>
              <w:t>的</w:t>
            </w:r>
            <w:r>
              <w:rPr>
                <w:rFonts w:hint="eastAsia"/>
                <w:kern w:val="0"/>
                <w:sz w:val="20"/>
              </w:rPr>
              <w:t>，敞开</w:t>
            </w:r>
            <w:r>
              <w:rPr>
                <w:rFonts w:hint="eastAsia"/>
                <w:kern w:val="0"/>
                <w:sz w:val="20"/>
                <w:lang w:eastAsia="zh-CN"/>
              </w:rPr>
              <w:t>液面</w:t>
            </w:r>
            <w:r>
              <w:rPr>
                <w:rFonts w:hint="eastAsia"/>
                <w:kern w:val="0"/>
                <w:sz w:val="20"/>
              </w:rPr>
              <w:t>上方100mm处VOCs检测浓度≥</w:t>
            </w:r>
            <w:r>
              <w:rPr>
                <w:rFonts w:hint="eastAsia"/>
                <w:kern w:val="0"/>
                <w:sz w:val="20"/>
                <w:lang w:val="en-US" w:eastAsia="zh-CN"/>
              </w:rPr>
              <w:t>1</w:t>
            </w:r>
            <w:r>
              <w:rPr>
                <w:rFonts w:hint="eastAsia"/>
                <w:kern w:val="0"/>
                <w:sz w:val="20"/>
              </w:rPr>
              <w:t>00μmol/mol，应加盖密闭。</w:t>
            </w:r>
          </w:p>
          <w:p>
            <w:pPr>
              <w:overflowPunct w:val="0"/>
              <w:topLinePunct/>
              <w:spacing w:line="290" w:lineRule="exact"/>
              <w:rPr>
                <w:kern w:val="0"/>
                <w:sz w:val="20"/>
              </w:rPr>
            </w:pPr>
            <w:r>
              <w:rPr>
                <w:rFonts w:hint="eastAsia"/>
                <w:kern w:val="0"/>
                <w:sz w:val="20"/>
              </w:rPr>
              <w:t>2、废水储存、处理设施</w:t>
            </w:r>
            <w:r>
              <w:rPr>
                <w:rFonts w:hint="eastAsia"/>
                <w:kern w:val="0"/>
                <w:sz w:val="20"/>
                <w:lang w:eastAsia="zh-CN"/>
              </w:rPr>
              <w:t>，在曝气池及其之前</w:t>
            </w:r>
            <w:r>
              <w:rPr>
                <w:rFonts w:hint="eastAsia"/>
                <w:kern w:val="0"/>
                <w:sz w:val="20"/>
              </w:rPr>
              <w:t>加盖密闭或采用等效措施，并密闭排气至有机废气治理设施。</w:t>
            </w:r>
          </w:p>
          <w:p>
            <w:pPr>
              <w:overflowPunct w:val="0"/>
              <w:topLinePunct/>
              <w:spacing w:line="290" w:lineRule="exact"/>
              <w:rPr>
                <w:kern w:val="0"/>
                <w:sz w:val="20"/>
              </w:rPr>
            </w:pPr>
            <w:r>
              <w:rPr>
                <w:rFonts w:hint="eastAsia"/>
                <w:kern w:val="0"/>
                <w:sz w:val="20"/>
              </w:rPr>
              <w:t>3、同A级第3条要求。</w:t>
            </w:r>
          </w:p>
          <w:p>
            <w:pPr>
              <w:overflowPunct w:val="0"/>
              <w:topLinePunct/>
              <w:spacing w:line="290" w:lineRule="exact"/>
              <w:rPr>
                <w:kern w:val="0"/>
                <w:sz w:val="20"/>
              </w:rPr>
            </w:pPr>
            <w:r>
              <w:rPr>
                <w:rFonts w:hint="eastAsia"/>
                <w:kern w:val="0"/>
                <w:sz w:val="20"/>
              </w:rPr>
              <w:t>4、同A级第4条</w:t>
            </w:r>
            <w:r>
              <w:rPr>
                <w:rFonts w:hint="eastAsia"/>
                <w:kern w:val="0"/>
                <w:sz w:val="20"/>
                <w:lang w:eastAsia="zh-CN"/>
              </w:rPr>
              <w:t>要求</w:t>
            </w:r>
            <w:r>
              <w:rPr>
                <w:rFonts w:hint="eastAsia"/>
                <w:kern w:val="0"/>
                <w:sz w:val="20"/>
              </w:rPr>
              <w:t>。</w:t>
            </w:r>
          </w:p>
        </w:tc>
        <w:tc>
          <w:tcPr>
            <w:tcW w:w="7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0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0" w:hRule="atLeast"/>
        </w:trPr>
        <w:tc>
          <w:tcPr>
            <w:tcW w:w="51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加热炉/锅炉及其他</w:t>
            </w:r>
          </w:p>
        </w:tc>
        <w:tc>
          <w:tcPr>
            <w:tcW w:w="175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1、PM治理采用覆膜袋式除尘器、滤筒除尘器、湿电除尘等高效除尘技术（除湿电除尘外，设计效率不低于99%）。</w:t>
            </w:r>
          </w:p>
          <w:p>
            <w:pPr>
              <w:overflowPunct w:val="0"/>
              <w:topLinePunct/>
              <w:spacing w:line="280" w:lineRule="exact"/>
              <w:rPr>
                <w:kern w:val="0"/>
                <w:sz w:val="20"/>
              </w:rPr>
            </w:pPr>
            <w:r>
              <w:rPr>
                <w:rFonts w:hint="eastAsia"/>
                <w:kern w:val="0"/>
                <w:sz w:val="20"/>
              </w:rPr>
              <w:t>2、脱硫采用石灰石/石灰-石膏湿法、氨法、半干法/干法脱硫等。</w:t>
            </w:r>
          </w:p>
          <w:p>
            <w:pPr>
              <w:overflowPunct w:val="0"/>
              <w:topLinePunct/>
              <w:spacing w:line="280" w:lineRule="exact"/>
              <w:rPr>
                <w:kern w:val="0"/>
                <w:sz w:val="20"/>
              </w:rPr>
            </w:pPr>
            <w:r>
              <w:rPr>
                <w:rFonts w:hint="eastAsia"/>
                <w:kern w:val="0"/>
                <w:sz w:val="20"/>
              </w:rPr>
              <w:t>3、燃气锅炉（导热油炉）完成低氮燃烧改造。</w:t>
            </w:r>
          </w:p>
          <w:p>
            <w:pPr>
              <w:overflowPunct w:val="0"/>
              <w:topLinePunct/>
              <w:spacing w:line="280" w:lineRule="exact"/>
              <w:rPr>
                <w:kern w:val="0"/>
                <w:sz w:val="20"/>
              </w:rPr>
            </w:pPr>
            <w:r>
              <w:rPr>
                <w:rFonts w:hint="eastAsia"/>
                <w:kern w:val="0"/>
                <w:sz w:val="20"/>
              </w:rPr>
              <w:t>4、燃气炉窑采用低氮燃烧、SCR、SNCR等脱硝技术。</w:t>
            </w:r>
          </w:p>
          <w:p>
            <w:pPr>
              <w:overflowPunct w:val="0"/>
              <w:topLinePunct/>
              <w:spacing w:line="280" w:lineRule="exact"/>
              <w:rPr>
                <w:kern w:val="0"/>
                <w:sz w:val="20"/>
              </w:rPr>
            </w:pPr>
            <w:r>
              <w:rPr>
                <w:rFonts w:hint="eastAsia"/>
                <w:kern w:val="0"/>
                <w:sz w:val="20"/>
              </w:rPr>
              <w:t>5、</w:t>
            </w:r>
            <w:r>
              <w:rPr>
                <w:rFonts w:hint="eastAsia"/>
                <w:kern w:val="0"/>
                <w:sz w:val="20"/>
                <w:lang w:eastAsia="zh-CN"/>
              </w:rPr>
              <w:t>其他</w:t>
            </w:r>
            <w:r>
              <w:rPr>
                <w:rFonts w:hint="eastAsia"/>
                <w:kern w:val="0"/>
                <w:sz w:val="20"/>
              </w:rPr>
              <w:t>工艺有机废气全部采用热力焚烧、催化燃烧、蓄热燃烧、吸附浓缩+催化燃烧等高效有机废气治理设施或送工艺加热炉、锅炉直接燃烧处理。</w:t>
            </w:r>
          </w:p>
        </w:tc>
        <w:tc>
          <w:tcPr>
            <w:tcW w:w="193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1、PM治理采用袋式除尘器、静电除尘等高效除尘技术。</w:t>
            </w:r>
          </w:p>
          <w:p>
            <w:pPr>
              <w:overflowPunct w:val="0"/>
              <w:topLinePunct/>
              <w:spacing w:line="280" w:lineRule="exact"/>
              <w:rPr>
                <w:kern w:val="0"/>
                <w:sz w:val="20"/>
              </w:rPr>
            </w:pPr>
            <w:r>
              <w:rPr>
                <w:rFonts w:hint="eastAsia"/>
                <w:kern w:val="0"/>
                <w:sz w:val="20"/>
              </w:rPr>
              <w:t>2、脱硫采用钠碱法、双碱法脱硫（配自动加碱和pH值测量）等。</w:t>
            </w:r>
          </w:p>
          <w:p>
            <w:pPr>
              <w:overflowPunct w:val="0"/>
              <w:topLinePunct/>
              <w:spacing w:line="280" w:lineRule="exact"/>
              <w:rPr>
                <w:kern w:val="0"/>
                <w:sz w:val="20"/>
              </w:rPr>
            </w:pPr>
            <w:r>
              <w:rPr>
                <w:rFonts w:hint="eastAsia"/>
                <w:kern w:val="0"/>
                <w:sz w:val="20"/>
              </w:rPr>
              <w:t>3、同A级第3条要求。</w:t>
            </w:r>
          </w:p>
          <w:p>
            <w:pPr>
              <w:overflowPunct w:val="0"/>
              <w:topLinePunct/>
              <w:spacing w:line="280" w:lineRule="exact"/>
              <w:rPr>
                <w:kern w:val="0"/>
                <w:sz w:val="20"/>
              </w:rPr>
            </w:pPr>
            <w:r>
              <w:rPr>
                <w:rFonts w:hint="eastAsia"/>
                <w:kern w:val="0"/>
                <w:sz w:val="20"/>
              </w:rPr>
              <w:t>4、同A级第4条要求。</w:t>
            </w:r>
          </w:p>
          <w:p>
            <w:pPr>
              <w:overflowPunct w:val="0"/>
              <w:topLinePunct/>
              <w:spacing w:line="280" w:lineRule="exact"/>
              <w:rPr>
                <w:kern w:val="0"/>
                <w:sz w:val="20"/>
              </w:rPr>
            </w:pPr>
            <w:r>
              <w:rPr>
                <w:rFonts w:hint="eastAsia"/>
                <w:kern w:val="0"/>
                <w:sz w:val="20"/>
              </w:rPr>
              <w:t>5、</w:t>
            </w:r>
            <w:r>
              <w:rPr>
                <w:rFonts w:hint="eastAsia"/>
                <w:kern w:val="0"/>
                <w:sz w:val="20"/>
                <w:lang w:eastAsia="zh-CN"/>
              </w:rPr>
              <w:t>其他</w:t>
            </w:r>
            <w:r>
              <w:rPr>
                <w:rFonts w:hint="eastAsia"/>
                <w:kern w:val="0"/>
                <w:sz w:val="20"/>
              </w:rPr>
              <w:t>工艺有机废气</w:t>
            </w:r>
            <w:r>
              <w:rPr>
                <w:rFonts w:hint="eastAsia"/>
                <w:kern w:val="0"/>
                <w:sz w:val="20"/>
                <w:lang w:eastAsia="zh-CN"/>
              </w:rPr>
              <w:t>中</w:t>
            </w:r>
            <w:r>
              <w:rPr>
                <w:rFonts w:hint="eastAsia"/>
                <w:kern w:val="0"/>
                <w:sz w:val="20"/>
                <w:lang w:val="en-US" w:eastAsia="zh-CN"/>
              </w:rPr>
              <w:t>NMHC</w:t>
            </w:r>
            <w:r>
              <w:rPr>
                <w:rFonts w:hint="eastAsia"/>
                <w:kern w:val="0"/>
                <w:sz w:val="20"/>
              </w:rPr>
              <w:t>初始排放速率</w:t>
            </w:r>
            <w:r>
              <w:rPr>
                <w:rFonts w:hint="eastAsia"/>
                <w:kern w:val="0"/>
                <w:sz w:val="20"/>
                <w:lang w:eastAsia="zh-CN"/>
              </w:rPr>
              <w:t>≥</w:t>
            </w:r>
            <w:r>
              <w:rPr>
                <w:rFonts w:hint="eastAsia"/>
                <w:kern w:val="0"/>
                <w:sz w:val="20"/>
              </w:rPr>
              <w:t>2kg/h</w:t>
            </w:r>
            <w:r>
              <w:rPr>
                <w:rFonts w:hint="eastAsia"/>
                <w:kern w:val="0"/>
                <w:sz w:val="20"/>
                <w:lang w:eastAsia="zh-CN"/>
              </w:rPr>
              <w:t>时，</w:t>
            </w:r>
            <w:r>
              <w:rPr>
                <w:rFonts w:hint="eastAsia"/>
                <w:kern w:val="0"/>
                <w:sz w:val="20"/>
              </w:rPr>
              <w:t>采用吸收、吸附、冷凝、膜分离等两级及以上组合工艺处理，处理效率应不低于80%</w:t>
            </w:r>
            <w:r>
              <w:rPr>
                <w:rFonts w:hint="eastAsia"/>
                <w:kern w:val="0"/>
                <w:sz w:val="20"/>
                <w:lang w:eastAsia="zh-CN"/>
              </w:rPr>
              <w:t>；＜</w:t>
            </w:r>
            <w:r>
              <w:rPr>
                <w:rFonts w:hint="eastAsia"/>
                <w:kern w:val="0"/>
                <w:sz w:val="20"/>
              </w:rPr>
              <w:t>2kg/h</w:t>
            </w:r>
            <w:r>
              <w:rPr>
                <w:rFonts w:hint="eastAsia"/>
                <w:kern w:val="0"/>
                <w:sz w:val="20"/>
                <w:lang w:eastAsia="zh-CN"/>
              </w:rPr>
              <w:t>时</w:t>
            </w:r>
            <w:r>
              <w:rPr>
                <w:rFonts w:hint="eastAsia"/>
                <w:kern w:val="0"/>
                <w:sz w:val="20"/>
              </w:rPr>
              <w:t>，可采用活性炭吸附等有效的治理工艺。</w:t>
            </w:r>
          </w:p>
        </w:tc>
        <w:tc>
          <w:tcPr>
            <w:tcW w:w="7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0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1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无组织管控</w:t>
            </w:r>
          </w:p>
        </w:tc>
        <w:tc>
          <w:tcPr>
            <w:tcW w:w="3687"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80" w:lineRule="exact"/>
              <w:rPr>
                <w:kern w:val="0"/>
                <w:sz w:val="20"/>
              </w:rPr>
            </w:pPr>
            <w:r>
              <w:rPr>
                <w:rFonts w:hint="eastAsia"/>
                <w:kern w:val="0"/>
                <w:sz w:val="20"/>
              </w:rPr>
              <w:t>满足《挥发性有机物无组织排放控制标准》（GB 37822-2019）特别控制要求。</w:t>
            </w:r>
          </w:p>
          <w:p>
            <w:pPr>
              <w:tabs>
                <w:tab w:val="left" w:pos="267"/>
              </w:tabs>
              <w:overflowPunct w:val="0"/>
              <w:topLinePunct/>
              <w:spacing w:line="280" w:lineRule="exact"/>
              <w:rPr>
                <w:kern w:val="0"/>
                <w:sz w:val="20"/>
              </w:rPr>
            </w:pPr>
            <w:r>
              <w:rPr>
                <w:rFonts w:hint="eastAsia"/>
                <w:kern w:val="0"/>
                <w:sz w:val="20"/>
              </w:rPr>
              <w:t>一、生产工艺</w:t>
            </w:r>
          </w:p>
          <w:p>
            <w:pPr>
              <w:tabs>
                <w:tab w:val="left" w:pos="267"/>
              </w:tabs>
              <w:overflowPunct w:val="0"/>
              <w:topLinePunct/>
              <w:spacing w:line="280" w:lineRule="exact"/>
              <w:rPr>
                <w:kern w:val="0"/>
                <w:sz w:val="20"/>
              </w:rPr>
            </w:pPr>
            <w:r>
              <w:rPr>
                <w:rFonts w:hint="eastAsia"/>
                <w:kern w:val="0"/>
                <w:sz w:val="20"/>
              </w:rPr>
              <w:t>1、所有物料采用密闭/封闭方式储存，含VOCs物料配备废气负压收集至VOCs处理设施。</w:t>
            </w:r>
          </w:p>
          <w:p>
            <w:pPr>
              <w:tabs>
                <w:tab w:val="left" w:pos="267"/>
              </w:tabs>
              <w:overflowPunct w:val="0"/>
              <w:topLinePunct/>
              <w:spacing w:line="280" w:lineRule="exact"/>
              <w:rPr>
                <w:kern w:val="0"/>
                <w:sz w:val="20"/>
              </w:rPr>
            </w:pPr>
            <w:r>
              <w:rPr>
                <w:rFonts w:hint="eastAsia"/>
                <w:kern w:val="0"/>
                <w:sz w:val="20"/>
              </w:rPr>
              <w:t>2、厂区内物料转移和输送采用气力输送、封闭皮带等，无法封闭的产尘点（物料转载、下料口等）应设置独立集气罩，配套的废气治理设施不与室内通风除尘混用。</w:t>
            </w:r>
          </w:p>
          <w:p>
            <w:pPr>
              <w:tabs>
                <w:tab w:val="left" w:pos="267"/>
              </w:tabs>
              <w:overflowPunct w:val="0"/>
              <w:topLinePunct/>
              <w:spacing w:line="280" w:lineRule="exact"/>
              <w:rPr>
                <w:kern w:val="0"/>
                <w:sz w:val="20"/>
              </w:rPr>
            </w:pPr>
            <w:r>
              <w:rPr>
                <w:rFonts w:hint="eastAsia"/>
                <w:kern w:val="0"/>
                <w:sz w:val="20"/>
              </w:rPr>
              <w:t>3、含VOCs物料采用密闭输送、密闭投加或</w:t>
            </w:r>
            <w:r>
              <w:rPr>
                <w:rFonts w:hint="eastAsia"/>
                <w:kern w:val="0"/>
                <w:sz w:val="20"/>
                <w:lang w:eastAsia="zh-CN"/>
              </w:rPr>
              <w:t>在</w:t>
            </w:r>
            <w:r>
              <w:rPr>
                <w:rFonts w:hint="eastAsia"/>
                <w:kern w:val="0"/>
                <w:sz w:val="20"/>
              </w:rPr>
              <w:t>密闭</w:t>
            </w:r>
            <w:r>
              <w:rPr>
                <w:rFonts w:hint="eastAsia"/>
                <w:kern w:val="0"/>
                <w:sz w:val="20"/>
                <w:lang w:eastAsia="zh-CN"/>
              </w:rPr>
              <w:t>空间内</w:t>
            </w:r>
            <w:r>
              <w:rPr>
                <w:rFonts w:hint="eastAsia"/>
                <w:kern w:val="0"/>
                <w:sz w:val="20"/>
              </w:rPr>
              <w:t>操作。</w:t>
            </w:r>
          </w:p>
          <w:p>
            <w:pPr>
              <w:tabs>
                <w:tab w:val="left" w:pos="267"/>
              </w:tabs>
              <w:overflowPunct w:val="0"/>
              <w:topLinePunct/>
              <w:spacing w:line="280" w:lineRule="exact"/>
              <w:rPr>
                <w:kern w:val="0"/>
                <w:sz w:val="20"/>
              </w:rPr>
            </w:pPr>
            <w:r>
              <w:rPr>
                <w:rFonts w:hint="eastAsia"/>
                <w:kern w:val="0"/>
                <w:sz w:val="20"/>
              </w:rPr>
              <w:t>4、车间产尘点和涉VOCs工序安装集气罩和治理设施。</w:t>
            </w:r>
          </w:p>
          <w:p>
            <w:pPr>
              <w:tabs>
                <w:tab w:val="left" w:pos="267"/>
              </w:tabs>
              <w:overflowPunct w:val="0"/>
              <w:topLinePunct/>
              <w:spacing w:line="280" w:lineRule="exact"/>
              <w:rPr>
                <w:kern w:val="0"/>
                <w:sz w:val="20"/>
              </w:rPr>
            </w:pPr>
            <w:r>
              <w:rPr>
                <w:rFonts w:hint="eastAsia"/>
                <w:kern w:val="0"/>
                <w:sz w:val="20"/>
              </w:rPr>
              <w:t>二、车间、料场环境</w:t>
            </w:r>
          </w:p>
          <w:p>
            <w:pPr>
              <w:tabs>
                <w:tab w:val="left" w:pos="267"/>
              </w:tabs>
              <w:overflowPunct w:val="0"/>
              <w:topLinePunct/>
              <w:spacing w:line="280" w:lineRule="exact"/>
              <w:rPr>
                <w:kern w:val="0"/>
                <w:sz w:val="20"/>
              </w:rPr>
            </w:pPr>
            <w:r>
              <w:rPr>
                <w:rFonts w:hint="eastAsia"/>
                <w:kern w:val="0"/>
                <w:sz w:val="20"/>
              </w:rPr>
              <w:t>1、生产车间地面干净，生产设施、设备材料表面无积料、积灰现象。</w:t>
            </w:r>
          </w:p>
          <w:p>
            <w:pPr>
              <w:tabs>
                <w:tab w:val="left" w:pos="267"/>
              </w:tabs>
              <w:overflowPunct w:val="0"/>
              <w:topLinePunct/>
              <w:spacing w:line="280" w:lineRule="exact"/>
              <w:rPr>
                <w:kern w:val="0"/>
                <w:sz w:val="20"/>
              </w:rPr>
            </w:pPr>
            <w:r>
              <w:rPr>
                <w:rFonts w:hint="eastAsia"/>
                <w:kern w:val="0"/>
                <w:sz w:val="20"/>
              </w:rPr>
              <w:t>2、封闭料棚，料场内路面全部硬化，料场货物进出大门为硬质材料门。</w:t>
            </w:r>
          </w:p>
          <w:p>
            <w:pPr>
              <w:tabs>
                <w:tab w:val="left" w:pos="267"/>
              </w:tabs>
              <w:overflowPunct w:val="0"/>
              <w:topLinePunct/>
              <w:spacing w:line="280" w:lineRule="exact"/>
              <w:rPr>
                <w:kern w:val="0"/>
                <w:sz w:val="20"/>
              </w:rPr>
            </w:pPr>
            <w:r>
              <w:rPr>
                <w:rFonts w:hint="eastAsia"/>
                <w:kern w:val="0"/>
                <w:sz w:val="20"/>
              </w:rPr>
              <w:t>3、在确保安全的前提下，所有门窗应处于封闭状态。</w:t>
            </w:r>
          </w:p>
          <w:p>
            <w:pPr>
              <w:tabs>
                <w:tab w:val="left" w:pos="267"/>
              </w:tabs>
              <w:overflowPunct w:val="0"/>
              <w:topLinePunct/>
              <w:spacing w:line="280" w:lineRule="exact"/>
              <w:rPr>
                <w:kern w:val="0"/>
                <w:sz w:val="20"/>
              </w:rPr>
            </w:pPr>
            <w:r>
              <w:rPr>
                <w:rFonts w:hint="eastAsia"/>
                <w:kern w:val="0"/>
                <w:sz w:val="20"/>
              </w:rPr>
              <w:t>4、生产车间无可见烟粉尘外逸。</w:t>
            </w:r>
          </w:p>
        </w:tc>
        <w:tc>
          <w:tcPr>
            <w:tcW w:w="7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0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1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排放限值</w:t>
            </w:r>
          </w:p>
        </w:tc>
        <w:tc>
          <w:tcPr>
            <w:tcW w:w="175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1、全厂PM、NMHC有组织排放限值要求浓度分别不超过10、20mg/m</w:t>
            </w:r>
            <w:r>
              <w:rPr>
                <w:rFonts w:hint="eastAsia"/>
                <w:kern w:val="0"/>
                <w:sz w:val="20"/>
                <w:vertAlign w:val="superscript"/>
              </w:rPr>
              <w:t>3</w:t>
            </w:r>
            <w:r>
              <w:rPr>
                <w:rFonts w:hint="eastAsia"/>
                <w:kern w:val="0"/>
                <w:sz w:val="20"/>
              </w:rPr>
              <w:t>，且其他污染物稳定达到国家/地方排放限值。</w:t>
            </w:r>
          </w:p>
          <w:p>
            <w:pPr>
              <w:overflowPunct w:val="0"/>
              <w:topLinePunct/>
              <w:spacing w:line="280" w:lineRule="exact"/>
              <w:rPr>
                <w:kern w:val="0"/>
                <w:sz w:val="20"/>
              </w:rPr>
            </w:pPr>
            <w:r>
              <w:rPr>
                <w:rFonts w:hint="eastAsia"/>
                <w:kern w:val="0"/>
                <w:sz w:val="20"/>
              </w:rPr>
              <w:t>2、VOCs治理设施同步运行率达到100%。</w:t>
            </w:r>
          </w:p>
          <w:p>
            <w:pPr>
              <w:overflowPunct w:val="0"/>
              <w:topLinePunct/>
              <w:spacing w:line="280" w:lineRule="exact"/>
              <w:rPr>
                <w:kern w:val="0"/>
                <w:sz w:val="20"/>
              </w:rPr>
            </w:pPr>
            <w:r>
              <w:rPr>
                <w:rFonts w:hint="eastAsia"/>
                <w:kern w:val="0"/>
                <w:sz w:val="20"/>
              </w:rPr>
              <w:t>3、污水处理站周界监控点环境空气臭气浓度低于20，NH</w:t>
            </w:r>
            <w:r>
              <w:rPr>
                <w:rFonts w:hint="eastAsia"/>
                <w:kern w:val="0"/>
                <w:sz w:val="20"/>
                <w:vertAlign w:val="subscript"/>
              </w:rPr>
              <w:t>3</w:t>
            </w:r>
            <w:r>
              <w:rPr>
                <w:rFonts w:hint="eastAsia"/>
                <w:kern w:val="0"/>
                <w:sz w:val="20"/>
              </w:rPr>
              <w:t>、H</w:t>
            </w:r>
            <w:r>
              <w:rPr>
                <w:rFonts w:hint="eastAsia"/>
                <w:kern w:val="0"/>
                <w:sz w:val="20"/>
                <w:vertAlign w:val="subscript"/>
              </w:rPr>
              <w:t>2</w:t>
            </w:r>
            <w:r>
              <w:rPr>
                <w:rFonts w:hint="eastAsia"/>
                <w:kern w:val="0"/>
                <w:sz w:val="20"/>
              </w:rPr>
              <w:t>S浓度分别低于0.2、0.02</w:t>
            </w:r>
            <w:r>
              <w:rPr>
                <w:rFonts w:hint="eastAsia"/>
                <w:kern w:val="0"/>
                <w:sz w:val="20"/>
                <w:lang w:val="en-US" w:eastAsia="zh-CN"/>
              </w:rPr>
              <w:t xml:space="preserve"> </w:t>
            </w:r>
            <w:r>
              <w:rPr>
                <w:rFonts w:hint="eastAsia"/>
                <w:kern w:val="0"/>
                <w:sz w:val="20"/>
              </w:rPr>
              <w:t>mg/m</w:t>
            </w:r>
            <w:r>
              <w:rPr>
                <w:rFonts w:hint="eastAsia"/>
                <w:kern w:val="0"/>
                <w:sz w:val="20"/>
                <w:vertAlign w:val="superscript"/>
              </w:rPr>
              <w:t>3</w:t>
            </w:r>
            <w:r>
              <w:rPr>
                <w:rFonts w:hint="eastAsia"/>
                <w:kern w:val="0"/>
                <w:sz w:val="20"/>
              </w:rPr>
              <w:t>，其他特征污染物满足排污许可证排放限值要求。</w:t>
            </w:r>
          </w:p>
          <w:p>
            <w:pPr>
              <w:overflowPunct w:val="0"/>
              <w:topLinePunct/>
              <w:spacing w:line="280" w:lineRule="exact"/>
              <w:rPr>
                <w:kern w:val="0"/>
                <w:sz w:val="20"/>
              </w:rPr>
            </w:pPr>
            <w:r>
              <w:rPr>
                <w:rFonts w:hint="eastAsia"/>
                <w:kern w:val="0"/>
                <w:sz w:val="20"/>
              </w:rPr>
              <w:t>4、若涉及脱硝氨逃逸浓度小于8mg/m</w:t>
            </w:r>
            <w:r>
              <w:rPr>
                <w:rFonts w:hint="eastAsia"/>
                <w:kern w:val="0"/>
                <w:sz w:val="20"/>
                <w:vertAlign w:val="superscript"/>
              </w:rPr>
              <w:t>3</w:t>
            </w:r>
            <w:r>
              <w:rPr>
                <w:rFonts w:hint="eastAsia"/>
                <w:kern w:val="0"/>
                <w:sz w:val="20"/>
              </w:rPr>
              <w:t>。</w:t>
            </w:r>
          </w:p>
        </w:tc>
        <w:tc>
          <w:tcPr>
            <w:tcW w:w="193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1、全厂PM、NMHC有组织排放浓度分别不超过10、40mg/m</w:t>
            </w:r>
            <w:r>
              <w:rPr>
                <w:rFonts w:hint="eastAsia"/>
                <w:kern w:val="0"/>
                <w:sz w:val="20"/>
                <w:vertAlign w:val="superscript"/>
              </w:rPr>
              <w:t>3</w:t>
            </w:r>
            <w:r>
              <w:rPr>
                <w:rFonts w:hint="eastAsia"/>
                <w:kern w:val="0"/>
                <w:sz w:val="20"/>
                <w:vertAlign w:val="baseline"/>
                <w:lang w:eastAsia="zh-CN"/>
              </w:rPr>
              <w:t>，</w:t>
            </w:r>
            <w:r>
              <w:rPr>
                <w:rFonts w:hint="eastAsia"/>
                <w:kern w:val="0"/>
                <w:sz w:val="20"/>
              </w:rPr>
              <w:t>且其他污染物稳定达到国家/地方排放限值。</w:t>
            </w:r>
          </w:p>
          <w:p>
            <w:pPr>
              <w:overflowPunct w:val="0"/>
              <w:topLinePunct/>
              <w:spacing w:line="280" w:lineRule="exact"/>
              <w:rPr>
                <w:kern w:val="0"/>
                <w:sz w:val="20"/>
              </w:rPr>
            </w:pPr>
            <w:r>
              <w:rPr>
                <w:rFonts w:hint="eastAsia"/>
                <w:kern w:val="0"/>
                <w:sz w:val="20"/>
              </w:rPr>
              <w:t>2、同A级第2条要求。</w:t>
            </w:r>
          </w:p>
          <w:p>
            <w:pPr>
              <w:overflowPunct w:val="0"/>
              <w:topLinePunct/>
              <w:spacing w:line="280" w:lineRule="exact"/>
              <w:rPr>
                <w:kern w:val="0"/>
                <w:sz w:val="20"/>
              </w:rPr>
            </w:pPr>
            <w:r>
              <w:rPr>
                <w:rFonts w:hint="eastAsia"/>
                <w:kern w:val="0"/>
                <w:sz w:val="20"/>
              </w:rPr>
              <w:t>3、同A级第3条要求。</w:t>
            </w:r>
          </w:p>
          <w:p>
            <w:pPr>
              <w:overflowPunct w:val="0"/>
              <w:topLinePunct/>
              <w:spacing w:line="280" w:lineRule="exact"/>
              <w:rPr>
                <w:kern w:val="0"/>
                <w:sz w:val="20"/>
              </w:rPr>
            </w:pPr>
            <w:r>
              <w:rPr>
                <w:rFonts w:hint="eastAsia"/>
                <w:kern w:val="0"/>
                <w:sz w:val="20"/>
              </w:rPr>
              <w:t>4、同A级第4条要求。</w:t>
            </w:r>
          </w:p>
        </w:tc>
        <w:tc>
          <w:tcPr>
            <w:tcW w:w="7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1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00" w:lineRule="exact"/>
              <w:jc w:val="center"/>
              <w:rPr>
                <w:rFonts w:eastAsia="黑体"/>
                <w:kern w:val="0"/>
                <w:sz w:val="20"/>
              </w:rPr>
            </w:pPr>
            <w:r>
              <w:rPr>
                <w:rFonts w:hint="eastAsia" w:eastAsia="黑体"/>
                <w:kern w:val="0"/>
                <w:sz w:val="20"/>
              </w:rPr>
              <w:t>监测监控水平</w:t>
            </w:r>
          </w:p>
        </w:tc>
        <w:tc>
          <w:tcPr>
            <w:tcW w:w="3687"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00" w:lineRule="exact"/>
              <w:rPr>
                <w:kern w:val="0"/>
                <w:sz w:val="20"/>
              </w:rPr>
            </w:pPr>
            <w:r>
              <w:rPr>
                <w:rFonts w:hint="eastAsia"/>
                <w:kern w:val="0"/>
                <w:sz w:val="20"/>
              </w:rPr>
              <w:t>1、重点排污单位且废气风量大于10000m</w:t>
            </w:r>
            <w:r>
              <w:rPr>
                <w:rFonts w:hint="eastAsia"/>
                <w:kern w:val="0"/>
                <w:sz w:val="20"/>
                <w:vertAlign w:val="superscript"/>
              </w:rPr>
              <w:t>3</w:t>
            </w:r>
            <w:r>
              <w:rPr>
                <w:rFonts w:hint="eastAsia"/>
                <w:kern w:val="0"/>
                <w:sz w:val="20"/>
              </w:rPr>
              <w:t>/h的</w:t>
            </w:r>
            <w:r>
              <w:rPr>
                <w:rFonts w:hint="eastAsia"/>
                <w:kern w:val="0"/>
                <w:sz w:val="20"/>
                <w:lang w:eastAsia="zh-CN"/>
              </w:rPr>
              <w:t>有机废气主要</w:t>
            </w:r>
            <w:r>
              <w:rPr>
                <w:rFonts w:hint="eastAsia"/>
                <w:kern w:val="0"/>
                <w:sz w:val="20"/>
              </w:rPr>
              <w:t>排放口</w:t>
            </w:r>
            <w:r>
              <w:rPr>
                <w:rFonts w:hint="eastAsia"/>
                <w:kern w:val="0"/>
                <w:sz w:val="20"/>
                <w:lang w:eastAsia="zh-CN"/>
              </w:rPr>
              <w:t>安装</w:t>
            </w:r>
            <w:r>
              <w:rPr>
                <w:rFonts w:hint="eastAsia"/>
                <w:kern w:val="0"/>
                <w:sz w:val="20"/>
                <w:lang w:val="en-US" w:eastAsia="zh-CN"/>
              </w:rPr>
              <w:t>NMHC</w:t>
            </w:r>
            <w:r>
              <w:rPr>
                <w:rFonts w:hint="eastAsia"/>
                <w:kern w:val="0"/>
                <w:sz w:val="20"/>
              </w:rPr>
              <w:t>在线监控系统（FID检测器），并与生态环境主管部门的监控设备联网，数据保存一年以上（</w:t>
            </w:r>
            <w:r>
              <w:rPr>
                <w:rFonts w:hint="eastAsia"/>
                <w:kern w:val="0"/>
                <w:sz w:val="20"/>
                <w:lang w:eastAsia="zh-CN"/>
              </w:rPr>
              <w:t>投产或安装时间不满一年的企业</w:t>
            </w:r>
            <w:r>
              <w:rPr>
                <w:rFonts w:hint="eastAsia"/>
                <w:kern w:val="0"/>
                <w:sz w:val="20"/>
              </w:rPr>
              <w:t>，以现有数据为准）。</w:t>
            </w:r>
          </w:p>
          <w:p>
            <w:pPr>
              <w:tabs>
                <w:tab w:val="left" w:pos="267"/>
              </w:tabs>
              <w:overflowPunct w:val="0"/>
              <w:topLinePunct/>
              <w:spacing w:line="300" w:lineRule="exact"/>
              <w:rPr>
                <w:kern w:val="0"/>
                <w:sz w:val="20"/>
              </w:rPr>
            </w:pPr>
            <w:r>
              <w:rPr>
                <w:rFonts w:hint="eastAsia"/>
                <w:kern w:val="0"/>
                <w:sz w:val="20"/>
              </w:rPr>
              <w:t>2、有组织排放口按照排污许可证、行业自行监测技术指南或排污单位自行监测技术指南总则等相关要求开展自行监测。</w:t>
            </w:r>
          </w:p>
          <w:p>
            <w:pPr>
              <w:tabs>
                <w:tab w:val="left" w:pos="267"/>
              </w:tabs>
              <w:overflowPunct w:val="0"/>
              <w:topLinePunct/>
              <w:spacing w:line="300" w:lineRule="exact"/>
              <w:ind w:left="0"/>
              <w:rPr>
                <w:kern w:val="0"/>
                <w:sz w:val="20"/>
              </w:rPr>
            </w:pPr>
            <w:r>
              <w:rPr>
                <w:rFonts w:hint="eastAsia"/>
                <w:kern w:val="0"/>
                <w:sz w:val="20"/>
              </w:rPr>
              <w:t>3、厂区货运进出口、</w:t>
            </w:r>
            <w:r>
              <w:rPr>
                <w:rFonts w:hint="eastAsia"/>
                <w:kern w:val="0"/>
                <w:sz w:val="20"/>
                <w:lang w:eastAsia="zh-CN"/>
              </w:rPr>
              <w:t>易产尘点</w:t>
            </w:r>
            <w:r>
              <w:rPr>
                <w:rFonts w:hint="eastAsia"/>
                <w:kern w:val="0"/>
                <w:sz w:val="20"/>
              </w:rPr>
              <w:t>安装高清视频监控系统，视频监控数据保存3个月以上。</w:t>
            </w:r>
          </w:p>
          <w:p>
            <w:pPr>
              <w:tabs>
                <w:tab w:val="left" w:pos="267"/>
              </w:tabs>
              <w:overflowPunct w:val="0"/>
              <w:topLinePunct/>
              <w:spacing w:line="300" w:lineRule="exact"/>
              <w:ind w:left="0"/>
              <w:rPr>
                <w:kern w:val="0"/>
                <w:sz w:val="20"/>
              </w:rPr>
            </w:pPr>
            <w:r>
              <w:rPr>
                <w:rFonts w:hint="eastAsia"/>
                <w:kern w:val="0"/>
                <w:sz w:val="20"/>
                <w:lang w:val="en-US" w:eastAsia="zh-CN"/>
              </w:rPr>
              <w:t>4</w:t>
            </w:r>
            <w:r>
              <w:rPr>
                <w:rFonts w:hint="eastAsia"/>
                <w:kern w:val="0"/>
                <w:sz w:val="20"/>
              </w:rPr>
              <w:t>、企业主要环保设施及生产设施安装分布式控制系统（DCS）或可保存和查看历史数据的可编程控制系统（PLC），记录企业环保设施运行及相关生产过程主要参数，数据保存一年以上。</w:t>
            </w:r>
          </w:p>
        </w:tc>
        <w:tc>
          <w:tcPr>
            <w:tcW w:w="7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18"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环境管理水平</w:t>
            </w:r>
          </w:p>
        </w:tc>
        <w:tc>
          <w:tcPr>
            <w:tcW w:w="4481" w:type="pct"/>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环保档案：1、环评批复文件和竣工环保验收文件或者环境现状评估备案证明；2、排污许可证或固定污染物源排污登记回执；3、环境管理制度（有组织、无组织排放长效管理机制，主要包括岗位责任制度、达标公示制度和定期巡查维护制度等）；4、废气治理设施运行管理规程；5、一年内废气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18"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p>
        </w:tc>
        <w:tc>
          <w:tcPr>
            <w:tcW w:w="3687"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rPr>
                <w:kern w:val="0"/>
                <w:sz w:val="20"/>
              </w:rPr>
            </w:pPr>
            <w:r>
              <w:rPr>
                <w:rFonts w:hint="eastAsia"/>
                <w:kern w:val="0"/>
                <w:sz w:val="20"/>
              </w:rPr>
              <w:t>台账记录：1、生产设施运行管理信息（生产时间、运行负荷、产品产量等）；2、废气污染治理设施运行管理信息；3、监测记录信息（主要污染排放口废气排放记录等）；4、主要原辅材料消耗记录；5、燃料消耗记录；6、一般固废、危废处理记录；7、涉VOCs管理的记录台账；8、运输车辆、厂内车辆、非道路移动机械电子台账（进出场时间、车辆或非道路移动机械信息、运送货物名称及运量等）。</w:t>
            </w:r>
          </w:p>
        </w:tc>
        <w:tc>
          <w:tcPr>
            <w:tcW w:w="7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18"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p>
        </w:tc>
        <w:tc>
          <w:tcPr>
            <w:tcW w:w="3687"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ind w:left="-53"/>
              <w:rPr>
                <w:kern w:val="0"/>
                <w:sz w:val="20"/>
              </w:rPr>
            </w:pPr>
            <w:r>
              <w:rPr>
                <w:rFonts w:hint="eastAsia"/>
                <w:kern w:val="0"/>
                <w:sz w:val="20"/>
              </w:rPr>
              <w:t>人员配置：配备专职环保人员，并具备相应的环境管理能力（学历、培训、从业经验等）。</w:t>
            </w:r>
          </w:p>
        </w:tc>
        <w:tc>
          <w:tcPr>
            <w:tcW w:w="7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1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运输方式</w:t>
            </w:r>
          </w:p>
        </w:tc>
        <w:tc>
          <w:tcPr>
            <w:tcW w:w="1753"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ind w:left="0"/>
              <w:rPr>
                <w:kern w:val="0"/>
                <w:sz w:val="20"/>
              </w:rPr>
            </w:pPr>
            <w:r>
              <w:rPr>
                <w:rFonts w:hint="eastAsia"/>
                <w:kern w:val="0"/>
                <w:sz w:val="20"/>
              </w:rPr>
              <w:t>1、物料、产品公路运输全部</w:t>
            </w:r>
            <w:r>
              <w:rPr>
                <w:rFonts w:hint="eastAsia"/>
                <w:kern w:val="0"/>
                <w:sz w:val="20"/>
                <w:lang w:eastAsia="zh-CN"/>
              </w:rPr>
              <w:t>使用</w:t>
            </w:r>
            <w:r>
              <w:rPr>
                <w:rFonts w:hint="eastAsia"/>
                <w:kern w:val="0"/>
                <w:sz w:val="20"/>
              </w:rPr>
              <w:t>国五及以上排放标准重型载货车辆（含燃气）或新能源车辆。</w:t>
            </w:r>
          </w:p>
          <w:p>
            <w:pPr>
              <w:tabs>
                <w:tab w:val="left" w:pos="267"/>
              </w:tabs>
              <w:overflowPunct w:val="0"/>
              <w:topLinePunct/>
              <w:spacing w:line="320" w:lineRule="exact"/>
              <w:ind w:left="0"/>
              <w:rPr>
                <w:kern w:val="0"/>
                <w:sz w:val="20"/>
              </w:rPr>
            </w:pPr>
            <w:r>
              <w:rPr>
                <w:rFonts w:hint="eastAsia"/>
                <w:kern w:val="0"/>
                <w:sz w:val="20"/>
              </w:rPr>
              <w:t>2、厂内运输车辆全部达到国五及以上排放标准（含燃气）或使用新能源车辆。</w:t>
            </w:r>
          </w:p>
          <w:p>
            <w:pPr>
              <w:tabs>
                <w:tab w:val="left" w:pos="267"/>
              </w:tabs>
              <w:overflowPunct w:val="0"/>
              <w:topLinePunct/>
              <w:spacing w:line="320" w:lineRule="exact"/>
              <w:ind w:left="0"/>
              <w:rPr>
                <w:kern w:val="0"/>
                <w:sz w:val="20"/>
              </w:rPr>
            </w:pPr>
            <w:r>
              <w:rPr>
                <w:rFonts w:hint="eastAsia"/>
                <w:kern w:val="0"/>
                <w:sz w:val="20"/>
              </w:rPr>
              <w:t>3、厂内非道路移动机械全部达到国三及以上排放标准或使用新能源机械。</w:t>
            </w:r>
          </w:p>
        </w:tc>
        <w:tc>
          <w:tcPr>
            <w:tcW w:w="1934"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ind w:left="0"/>
              <w:rPr>
                <w:kern w:val="0"/>
                <w:sz w:val="20"/>
              </w:rPr>
            </w:pPr>
            <w:r>
              <w:rPr>
                <w:rFonts w:hint="eastAsia"/>
                <w:kern w:val="0"/>
                <w:sz w:val="20"/>
              </w:rPr>
              <w:t>1、物料、产品公路运输</w:t>
            </w:r>
            <w:r>
              <w:rPr>
                <w:rFonts w:hint="eastAsia"/>
                <w:kern w:val="0"/>
                <w:sz w:val="20"/>
                <w:lang w:eastAsia="zh-CN"/>
              </w:rPr>
              <w:t>使用</w:t>
            </w:r>
            <w:r>
              <w:rPr>
                <w:rFonts w:hint="eastAsia"/>
                <w:kern w:val="0"/>
                <w:sz w:val="20"/>
              </w:rPr>
              <w:t>国五及以上排放标准重型载货车辆（含燃气）或新能源车辆比例不低于80%。</w:t>
            </w:r>
          </w:p>
          <w:p>
            <w:pPr>
              <w:tabs>
                <w:tab w:val="left" w:pos="267"/>
              </w:tabs>
              <w:overflowPunct w:val="0"/>
              <w:topLinePunct/>
              <w:spacing w:line="320" w:lineRule="exact"/>
              <w:ind w:left="0"/>
              <w:rPr>
                <w:kern w:val="0"/>
                <w:sz w:val="20"/>
              </w:rPr>
            </w:pPr>
            <w:r>
              <w:rPr>
                <w:rFonts w:hint="eastAsia"/>
                <w:kern w:val="0"/>
                <w:sz w:val="20"/>
              </w:rPr>
              <w:t>2、厂内运输车辆达到国五及以上排放标准（含燃气）或使用新能源车辆比例不低于80%。</w:t>
            </w:r>
          </w:p>
          <w:p>
            <w:pPr>
              <w:tabs>
                <w:tab w:val="left" w:pos="267"/>
              </w:tabs>
              <w:overflowPunct w:val="0"/>
              <w:topLinePunct/>
              <w:spacing w:line="320" w:lineRule="exact"/>
              <w:ind w:left="0"/>
              <w:rPr>
                <w:kern w:val="0"/>
                <w:sz w:val="20"/>
              </w:rPr>
            </w:pPr>
            <w:r>
              <w:rPr>
                <w:rFonts w:hint="eastAsia"/>
                <w:kern w:val="0"/>
                <w:sz w:val="20"/>
              </w:rPr>
              <w:t>3、厂内非道路移动机械达到国三及以上排放标准或使用新能源机械比例不低于80%。</w:t>
            </w:r>
          </w:p>
        </w:tc>
        <w:tc>
          <w:tcPr>
            <w:tcW w:w="7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1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运输监管</w:t>
            </w:r>
          </w:p>
        </w:tc>
        <w:tc>
          <w:tcPr>
            <w:tcW w:w="3687"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267"/>
              </w:tabs>
              <w:kinsoku/>
              <w:wordWrap/>
              <w:overflowPunct w:val="0"/>
              <w:topLinePunct/>
              <w:autoSpaceDE/>
              <w:autoSpaceDN/>
              <w:bidi w:val="0"/>
              <w:adjustRightInd/>
              <w:snapToGrid/>
              <w:spacing w:line="320" w:lineRule="exact"/>
              <w:ind w:left="0"/>
              <w:textAlignment w:val="auto"/>
              <w:rPr>
                <w:kern w:val="0"/>
                <w:sz w:val="20"/>
              </w:rPr>
            </w:pPr>
            <w:r>
              <w:rPr>
                <w:rFonts w:hint="eastAsia"/>
                <w:kern w:val="0"/>
                <w:sz w:val="20"/>
                <w:lang w:eastAsia="zh-CN"/>
              </w:rPr>
              <w:t>建立门禁系统和电子台账，创建要求参照《重点行业移动源监管与核查技术指南》（</w:t>
            </w:r>
            <w:r>
              <w:rPr>
                <w:rFonts w:hint="eastAsia"/>
                <w:kern w:val="0"/>
                <w:sz w:val="20"/>
                <w:lang w:val="en-US" w:eastAsia="zh-CN"/>
              </w:rPr>
              <w:t>HJ 1321</w:t>
            </w:r>
            <w:r>
              <w:rPr>
                <w:rFonts w:hint="eastAsia"/>
                <w:kern w:val="0"/>
                <w:sz w:val="20"/>
                <w:lang w:eastAsia="zh-CN"/>
              </w:rPr>
              <w:t>）</w:t>
            </w:r>
            <w:r>
              <w:rPr>
                <w:rFonts w:hint="eastAsia"/>
                <w:kern w:val="0"/>
                <w:sz w:val="20"/>
              </w:rPr>
              <w:t>。</w:t>
            </w:r>
          </w:p>
        </w:tc>
        <w:tc>
          <w:tcPr>
            <w:tcW w:w="79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未达到A、B级要求。</w:t>
            </w:r>
          </w:p>
        </w:tc>
      </w:tr>
    </w:tbl>
    <w:p>
      <w:pPr>
        <w:overflowPunct w:val="0"/>
        <w:topLinePunct/>
        <w:jc w:val="center"/>
        <w:rPr>
          <w:rFonts w:eastAsia="宋体"/>
          <w:kern w:val="0"/>
          <w:sz w:val="22"/>
          <w:szCs w:val="22"/>
        </w:rPr>
      </w:pPr>
    </w:p>
    <w:p>
      <w:pPr>
        <w:overflowPunct w:val="0"/>
        <w:topLinePunct/>
        <w:spacing w:line="360" w:lineRule="auto"/>
        <w:rPr>
          <w:rFonts w:eastAsia="楷体_GB2312"/>
          <w:sz w:val="30"/>
          <w:szCs w:val="30"/>
        </w:rPr>
        <w:sectPr>
          <w:headerReference r:id="rId55" w:type="default"/>
          <w:footerReference r:id="rId57" w:type="default"/>
          <w:headerReference r:id="rId56" w:type="even"/>
          <w:footerReference r:id="rId58" w:type="even"/>
          <w:pgSz w:w="16840" w:h="11910" w:orient="landscape"/>
          <w:pgMar w:top="1588" w:right="2098" w:bottom="1474" w:left="1247" w:header="851" w:footer="992" w:gutter="0"/>
          <w:cols w:space="720" w:num="1"/>
        </w:sectPr>
      </w:pPr>
    </w:p>
    <w:p>
      <w:pPr>
        <w:overflowPunct w:val="0"/>
        <w:topLinePunct/>
        <w:spacing w:line="500" w:lineRule="exact"/>
        <w:ind w:firstLine="576" w:firstLineChars="200"/>
        <w:outlineLvl w:val="2"/>
        <w:rPr>
          <w:rFonts w:eastAsia="楷体_GB2312"/>
          <w:kern w:val="0"/>
          <w:sz w:val="30"/>
          <w:szCs w:val="30"/>
        </w:rPr>
      </w:pPr>
      <w:bookmarkStart w:id="93" w:name="_Toc121413365"/>
      <w:bookmarkStart w:id="94" w:name="_Toc737"/>
      <w:r>
        <w:rPr>
          <w:rFonts w:eastAsia="楷体_GB2312"/>
          <w:kern w:val="0"/>
          <w:sz w:val="30"/>
          <w:szCs w:val="30"/>
        </w:rPr>
        <w:t>（五）减排措施</w:t>
      </w:r>
      <w:bookmarkEnd w:id="93"/>
      <w:bookmarkEnd w:id="94"/>
    </w:p>
    <w:p>
      <w:pPr>
        <w:overflowPunct w:val="0"/>
        <w:topLinePunct/>
        <w:spacing w:line="500" w:lineRule="exact"/>
        <w:ind w:firstLine="576" w:firstLineChars="200"/>
        <w:rPr>
          <w:sz w:val="30"/>
          <w:szCs w:val="30"/>
        </w:rPr>
      </w:pPr>
      <w:r>
        <w:rPr>
          <w:sz w:val="30"/>
          <w:szCs w:val="30"/>
        </w:rPr>
        <w:t>1、A级企业</w:t>
      </w:r>
    </w:p>
    <w:p>
      <w:pPr>
        <w:overflowPunct w:val="0"/>
        <w:topLinePunct/>
        <w:spacing w:line="500" w:lineRule="exact"/>
        <w:ind w:firstLine="576" w:firstLineChars="200"/>
        <w:rPr>
          <w:sz w:val="30"/>
          <w:szCs w:val="30"/>
        </w:rPr>
      </w:pPr>
      <w:r>
        <w:rPr>
          <w:sz w:val="30"/>
          <w:szCs w:val="30"/>
        </w:rPr>
        <w:t>鼓励结合实际，自主采取减排措施。</w:t>
      </w:r>
    </w:p>
    <w:p>
      <w:pPr>
        <w:overflowPunct w:val="0"/>
        <w:topLinePunct/>
        <w:spacing w:line="500" w:lineRule="exact"/>
        <w:ind w:firstLine="576" w:firstLineChars="200"/>
        <w:rPr>
          <w:sz w:val="30"/>
          <w:szCs w:val="30"/>
        </w:rPr>
      </w:pPr>
      <w:r>
        <w:rPr>
          <w:sz w:val="30"/>
          <w:szCs w:val="30"/>
        </w:rPr>
        <w:t>2、B级企业</w:t>
      </w:r>
    </w:p>
    <w:p>
      <w:pPr>
        <w:overflowPunct w:val="0"/>
        <w:topLinePunct/>
        <w:spacing w:line="500" w:lineRule="exact"/>
        <w:ind w:firstLine="576" w:firstLineChars="200"/>
        <w:rPr>
          <w:sz w:val="30"/>
          <w:szCs w:val="30"/>
        </w:rPr>
      </w:pPr>
      <w:r>
        <w:rPr>
          <w:sz w:val="30"/>
          <w:szCs w:val="30"/>
        </w:rPr>
        <w:t>黄色预警期间：停止使用国四及以下重型载货车辆（含燃气）进行运输。</w:t>
      </w:r>
    </w:p>
    <w:p>
      <w:pPr>
        <w:overflowPunct w:val="0"/>
        <w:topLinePunct/>
        <w:spacing w:line="500" w:lineRule="exact"/>
        <w:ind w:firstLine="576" w:firstLineChars="200"/>
        <w:rPr>
          <w:sz w:val="30"/>
          <w:szCs w:val="30"/>
        </w:rPr>
      </w:pPr>
      <w:r>
        <w:rPr>
          <w:sz w:val="30"/>
          <w:szCs w:val="30"/>
        </w:rPr>
        <w:t>橙色预警期间：涉气工序限产20%，以生产线计（对于工序连续不可中断的企业以生产负荷计，以“环评批复产能、排污许可载明产能、前一年正常生产实际产能”三者日均值的最小值为基准核算）；停止使用国四及以下重型载货车辆（含燃气）进行运输。</w:t>
      </w:r>
    </w:p>
    <w:p>
      <w:pPr>
        <w:overflowPunct w:val="0"/>
        <w:topLinePunct/>
        <w:spacing w:line="500" w:lineRule="exact"/>
        <w:ind w:firstLine="576" w:firstLineChars="200"/>
        <w:rPr>
          <w:sz w:val="30"/>
          <w:szCs w:val="30"/>
        </w:rPr>
      </w:pPr>
      <w:r>
        <w:rPr>
          <w:sz w:val="30"/>
          <w:szCs w:val="30"/>
        </w:rPr>
        <w:t>红色预警期间：涉气工序限产30%，以生产线计（对于工序连续不可中断的企业以生产负荷计，以“环评批复产能、排污许可载明产能、前一年正常生产实际产能”三者日均值的最小值为基准核算）；停止使用国四及以下重型载货车辆（含燃气）进行运输。</w:t>
      </w:r>
    </w:p>
    <w:p>
      <w:pPr>
        <w:overflowPunct w:val="0"/>
        <w:topLinePunct/>
        <w:spacing w:line="500" w:lineRule="exact"/>
        <w:ind w:firstLine="576" w:firstLineChars="200"/>
        <w:rPr>
          <w:sz w:val="30"/>
          <w:szCs w:val="30"/>
        </w:rPr>
      </w:pPr>
      <w:r>
        <w:rPr>
          <w:sz w:val="30"/>
          <w:szCs w:val="30"/>
        </w:rPr>
        <w:t>3、C级企业</w:t>
      </w:r>
    </w:p>
    <w:p>
      <w:pPr>
        <w:overflowPunct w:val="0"/>
        <w:topLinePunct/>
        <w:spacing w:line="500" w:lineRule="exact"/>
        <w:ind w:firstLine="576" w:firstLineChars="200"/>
        <w:rPr>
          <w:sz w:val="30"/>
          <w:szCs w:val="30"/>
        </w:rPr>
      </w:pPr>
      <w:r>
        <w:rPr>
          <w:sz w:val="30"/>
          <w:szCs w:val="30"/>
        </w:rPr>
        <w:t>黄色预警期间：涉气工序限产30%，以生产线计（对于工序连续不可中断的企业以生产负荷计，以“环评批复产能、排污许可载明产能、前一年正常生产实际产能”三者日均值的最小值为基准核算）；停止使用国四及以下重型载货车辆（含燃气）进行运输。</w:t>
      </w:r>
    </w:p>
    <w:p>
      <w:pPr>
        <w:overflowPunct w:val="0"/>
        <w:topLinePunct/>
        <w:spacing w:line="500" w:lineRule="exact"/>
        <w:ind w:firstLine="576" w:firstLineChars="200"/>
        <w:rPr>
          <w:sz w:val="30"/>
          <w:szCs w:val="30"/>
        </w:rPr>
      </w:pPr>
      <w:r>
        <w:rPr>
          <w:sz w:val="30"/>
          <w:szCs w:val="30"/>
        </w:rPr>
        <w:t>橙色预警期间：涉气工序限产50%，以生产线计（对于工序连续不可中断的企业以生产负荷计，以“环评批复产能、排污许可载明产能、前一年正常生产实际产能”三者日均值的最小值为基准核算）；停止使用国四及以下重型载货车辆（含燃气）进行运输。</w:t>
      </w:r>
    </w:p>
    <w:p>
      <w:pPr>
        <w:overflowPunct w:val="0"/>
        <w:topLinePunct/>
        <w:spacing w:line="500" w:lineRule="exact"/>
        <w:ind w:firstLine="576" w:firstLineChars="200"/>
        <w:rPr>
          <w:rFonts w:eastAsia="宋体"/>
          <w:sz w:val="28"/>
          <w:szCs w:val="28"/>
        </w:rPr>
      </w:pPr>
      <w:r>
        <w:rPr>
          <w:sz w:val="30"/>
          <w:szCs w:val="30"/>
        </w:rPr>
        <w:t>红色预警期间：涉气工序全部停产；停止使用国四及以下重型载货车辆（含燃气）进行运输。</w:t>
      </w:r>
    </w:p>
    <w:p>
      <w:pPr>
        <w:overflowPunct w:val="0"/>
        <w:topLinePunct/>
        <w:spacing w:line="500" w:lineRule="exact"/>
        <w:ind w:firstLine="576" w:firstLineChars="200"/>
        <w:rPr>
          <w:sz w:val="30"/>
          <w:szCs w:val="30"/>
        </w:rPr>
      </w:pPr>
      <w:r>
        <w:rPr>
          <w:sz w:val="30"/>
          <w:szCs w:val="30"/>
        </w:rPr>
        <w:t>4、备注</w:t>
      </w:r>
    </w:p>
    <w:p>
      <w:pPr>
        <w:tabs>
          <w:tab w:val="left" w:pos="1737"/>
        </w:tabs>
        <w:overflowPunct w:val="0"/>
        <w:topLinePunct/>
        <w:spacing w:line="500" w:lineRule="exact"/>
        <w:ind w:firstLine="600" w:firstLineChars="200"/>
        <w:rPr>
          <w:rFonts w:eastAsia="等线"/>
          <w:spacing w:val="0"/>
          <w:sz w:val="28"/>
          <w:szCs w:val="28"/>
        </w:rPr>
      </w:pPr>
      <w:r>
        <w:rPr>
          <w:spacing w:val="0"/>
          <w:sz w:val="30"/>
          <w:szCs w:val="30"/>
        </w:rPr>
        <w:t>短时间内难以停产的工序，建议在重污染频发的秋冬季期间，提前调整生产计划，确保预警期间企业能够落实最高级别相应应急减排措施。有机化工行业企业工艺改造、废气收集、末端治理等环节均须进行安全评估，在保证安全的前提下改造、运行。</w:t>
      </w:r>
    </w:p>
    <w:p>
      <w:pPr>
        <w:overflowPunct w:val="0"/>
        <w:topLinePunct/>
        <w:spacing w:line="500" w:lineRule="exact"/>
        <w:ind w:firstLine="576" w:firstLineChars="200"/>
        <w:outlineLvl w:val="2"/>
        <w:rPr>
          <w:rFonts w:eastAsia="楷体_GB2312"/>
          <w:kern w:val="0"/>
          <w:sz w:val="30"/>
          <w:szCs w:val="30"/>
        </w:rPr>
      </w:pPr>
      <w:bookmarkStart w:id="95" w:name="_Toc121413366"/>
      <w:bookmarkStart w:id="96" w:name="_Toc30310"/>
      <w:r>
        <w:rPr>
          <w:rFonts w:eastAsia="楷体_GB2312"/>
          <w:kern w:val="0"/>
          <w:sz w:val="30"/>
          <w:szCs w:val="30"/>
        </w:rPr>
        <w:t>（六）核查方法</w:t>
      </w:r>
      <w:bookmarkEnd w:id="95"/>
      <w:bookmarkEnd w:id="96"/>
    </w:p>
    <w:p>
      <w:pPr>
        <w:overflowPunct w:val="0"/>
        <w:topLinePunct/>
        <w:spacing w:line="500" w:lineRule="exact"/>
        <w:ind w:firstLine="576" w:firstLineChars="200"/>
        <w:rPr>
          <w:sz w:val="30"/>
          <w:szCs w:val="30"/>
        </w:rPr>
      </w:pPr>
      <w:r>
        <w:rPr>
          <w:sz w:val="30"/>
          <w:szCs w:val="30"/>
        </w:rPr>
        <w:t>1、电量分析：分析预警期间企业涉气工序生产设备用电量明细，分析</w:t>
      </w:r>
      <w:r>
        <w:rPr>
          <w:rFonts w:hint="eastAsia"/>
          <w:sz w:val="30"/>
          <w:szCs w:val="30"/>
          <w:lang w:eastAsia="zh-CN"/>
        </w:rPr>
        <w:t>历史</w:t>
      </w:r>
      <w:r>
        <w:rPr>
          <w:sz w:val="30"/>
          <w:szCs w:val="30"/>
        </w:rPr>
        <w:t>预警</w:t>
      </w:r>
      <w:r>
        <w:rPr>
          <w:rFonts w:hint="eastAsia"/>
          <w:sz w:val="30"/>
          <w:szCs w:val="30"/>
          <w:lang w:val="en-US" w:eastAsia="zh-CN"/>
        </w:rPr>
        <w:t>前后</w:t>
      </w:r>
      <w:r>
        <w:rPr>
          <w:sz w:val="30"/>
          <w:szCs w:val="30"/>
        </w:rPr>
        <w:t>电量变化，比对采取减排措施期间的用电量是否明显下降。</w:t>
      </w:r>
    </w:p>
    <w:p>
      <w:pPr>
        <w:overflowPunct w:val="0"/>
        <w:topLinePunct/>
        <w:spacing w:line="500" w:lineRule="exact"/>
        <w:ind w:firstLine="576" w:firstLineChars="200"/>
        <w:rPr>
          <w:sz w:val="30"/>
          <w:szCs w:val="30"/>
        </w:rPr>
      </w:pPr>
      <w:r>
        <w:rPr>
          <w:sz w:val="30"/>
          <w:szCs w:val="30"/>
        </w:rPr>
        <w:t>2、现场核查：查看污染治理设施是否稳定运行；查看生产设备预警期间是否按要求实施停限产。</w:t>
      </w:r>
    </w:p>
    <w:p>
      <w:pPr>
        <w:overflowPunct w:val="0"/>
        <w:topLinePunct/>
        <w:spacing w:line="500" w:lineRule="exact"/>
        <w:ind w:firstLine="576" w:firstLineChars="200"/>
        <w:rPr>
          <w:sz w:val="30"/>
          <w:szCs w:val="30"/>
        </w:rPr>
      </w:pPr>
      <w:r>
        <w:rPr>
          <w:sz w:val="30"/>
          <w:szCs w:val="30"/>
        </w:rPr>
        <w:t>3、台账核查：重点核查生产设施运行台账；核查企业原辅料等使用量，产品产量台账，判断预警期间是否落实停</w:t>
      </w:r>
      <w:r>
        <w:rPr>
          <w:rFonts w:hint="eastAsia"/>
          <w:sz w:val="30"/>
          <w:szCs w:val="30"/>
          <w:lang w:eastAsia="zh-CN"/>
        </w:rPr>
        <w:t>限</w:t>
      </w:r>
      <w:r>
        <w:rPr>
          <w:sz w:val="30"/>
          <w:szCs w:val="30"/>
        </w:rPr>
        <w:t>产要求。</w:t>
      </w:r>
    </w:p>
    <w:p>
      <w:pPr>
        <w:overflowPunct w:val="0"/>
        <w:topLinePunct/>
        <w:spacing w:line="500" w:lineRule="exact"/>
        <w:ind w:firstLine="576" w:firstLineChars="200"/>
        <w:rPr>
          <w:rFonts w:eastAsia="宋体"/>
          <w:sz w:val="21"/>
          <w:szCs w:val="22"/>
        </w:rPr>
      </w:pPr>
      <w:r>
        <w:rPr>
          <w:sz w:val="30"/>
          <w:szCs w:val="30"/>
        </w:rPr>
        <w:t>4、运输核查：</w:t>
      </w:r>
      <w:r>
        <w:rPr>
          <w:spacing w:val="0"/>
          <w:sz w:val="30"/>
          <w:szCs w:val="30"/>
        </w:rPr>
        <w:t>调取厂区</w:t>
      </w:r>
      <w:r>
        <w:rPr>
          <w:sz w:val="30"/>
          <w:szCs w:val="30"/>
        </w:rPr>
        <w:t>货运进出口视频监控</w:t>
      </w:r>
      <w:r>
        <w:rPr>
          <w:spacing w:val="0"/>
          <w:sz w:val="30"/>
          <w:szCs w:val="30"/>
        </w:rPr>
        <w:t>记录，比对预警前后厂区</w:t>
      </w:r>
      <w:r>
        <w:rPr>
          <w:rFonts w:hint="eastAsia"/>
          <w:spacing w:val="0"/>
          <w:sz w:val="30"/>
          <w:szCs w:val="30"/>
          <w:lang w:eastAsia="zh-CN"/>
        </w:rPr>
        <w:t>汽车运输情况，检查</w:t>
      </w:r>
      <w:r>
        <w:rPr>
          <w:spacing w:val="0"/>
          <w:sz w:val="30"/>
          <w:szCs w:val="30"/>
        </w:rPr>
        <w:t>是否符合要求；现场抽查</w:t>
      </w:r>
      <w:r>
        <w:rPr>
          <w:rFonts w:hint="eastAsia"/>
          <w:spacing w:val="0"/>
          <w:sz w:val="30"/>
          <w:szCs w:val="30"/>
          <w:lang w:eastAsia="zh-CN"/>
        </w:rPr>
        <w:t>运输</w:t>
      </w:r>
      <w:r>
        <w:rPr>
          <w:spacing w:val="0"/>
          <w:sz w:val="30"/>
          <w:szCs w:val="30"/>
        </w:rPr>
        <w:t>车辆</w:t>
      </w:r>
      <w:r>
        <w:rPr>
          <w:rFonts w:hint="eastAsia"/>
          <w:spacing w:val="0"/>
          <w:sz w:val="30"/>
          <w:szCs w:val="30"/>
          <w:lang w:eastAsia="zh-CN"/>
        </w:rPr>
        <w:t>，</w:t>
      </w:r>
      <w:r>
        <w:rPr>
          <w:spacing w:val="0"/>
          <w:sz w:val="30"/>
          <w:szCs w:val="30"/>
        </w:rPr>
        <w:t>核查排放</w:t>
      </w:r>
      <w:r>
        <w:rPr>
          <w:rFonts w:hint="eastAsia"/>
          <w:spacing w:val="0"/>
          <w:sz w:val="30"/>
          <w:szCs w:val="30"/>
          <w:lang w:eastAsia="zh-CN"/>
        </w:rPr>
        <w:t>标准</w:t>
      </w:r>
      <w:r>
        <w:rPr>
          <w:spacing w:val="0"/>
          <w:sz w:val="30"/>
          <w:szCs w:val="30"/>
        </w:rPr>
        <w:t>是否符合要求。</w:t>
      </w:r>
    </w:p>
    <w:p>
      <w:pPr>
        <w:overflowPunct w:val="0"/>
        <w:topLinePunct/>
        <w:spacing w:line="500" w:lineRule="exact"/>
        <w:ind w:firstLine="576" w:firstLineChars="200"/>
        <w:outlineLvl w:val="1"/>
        <w:rPr>
          <w:rFonts w:eastAsia="黑体"/>
          <w:kern w:val="0"/>
          <w:sz w:val="30"/>
          <w:szCs w:val="30"/>
        </w:rPr>
      </w:pPr>
      <w:bookmarkStart w:id="97" w:name="_Toc10124"/>
      <w:bookmarkStart w:id="98" w:name="_Toc121413367"/>
      <w:r>
        <w:rPr>
          <w:rFonts w:eastAsia="黑体"/>
          <w:kern w:val="0"/>
          <w:sz w:val="30"/>
          <w:szCs w:val="30"/>
        </w:rPr>
        <w:t>八、电子工业</w:t>
      </w:r>
      <w:bookmarkEnd w:id="97"/>
      <w:bookmarkEnd w:id="98"/>
    </w:p>
    <w:p>
      <w:pPr>
        <w:overflowPunct w:val="0"/>
        <w:topLinePunct/>
        <w:spacing w:line="500" w:lineRule="exact"/>
        <w:ind w:firstLine="576" w:firstLineChars="200"/>
        <w:outlineLvl w:val="2"/>
        <w:rPr>
          <w:rFonts w:eastAsia="楷体_GB2312"/>
          <w:kern w:val="0"/>
          <w:sz w:val="30"/>
          <w:szCs w:val="30"/>
        </w:rPr>
      </w:pPr>
      <w:bookmarkStart w:id="99" w:name="_Toc121413368"/>
      <w:bookmarkStart w:id="100" w:name="_Toc30699"/>
      <w:r>
        <w:rPr>
          <w:rFonts w:eastAsia="楷体_GB2312"/>
          <w:kern w:val="0"/>
          <w:sz w:val="30"/>
          <w:szCs w:val="30"/>
        </w:rPr>
        <w:t>（一）适用范围</w:t>
      </w:r>
      <w:bookmarkEnd w:id="99"/>
      <w:bookmarkEnd w:id="100"/>
    </w:p>
    <w:p>
      <w:pPr>
        <w:overflowPunct w:val="0"/>
        <w:topLinePunct/>
        <w:spacing w:line="500" w:lineRule="exact"/>
        <w:ind w:firstLine="576" w:firstLineChars="200"/>
        <w:rPr>
          <w:rFonts w:eastAsia="宋体"/>
          <w:sz w:val="28"/>
          <w:szCs w:val="28"/>
        </w:rPr>
      </w:pPr>
      <w:r>
        <w:rPr>
          <w:sz w:val="30"/>
          <w:szCs w:val="30"/>
        </w:rPr>
        <w:t>适用于《国民经济行业分类》（GB/T4754-2017）中的计算机、通信和其他电子设备制造业（C39），涉及有机溶剂、涂料、油墨、稀释剂、清洗剂、固化剂、胶粘剂等使用的电子工业企业</w:t>
      </w:r>
      <w:r>
        <w:rPr>
          <w:rFonts w:hint="eastAsia"/>
          <w:sz w:val="30"/>
          <w:szCs w:val="30"/>
          <w:lang w:eastAsia="zh-CN"/>
        </w:rPr>
        <w:t>，仅涉及清洗、擦拭工序的电子工业企业可参照执行。</w:t>
      </w:r>
      <w:r>
        <w:rPr>
          <w:sz w:val="30"/>
          <w:szCs w:val="30"/>
        </w:rPr>
        <w:t>仅涉及工业涂装的电子企业按国家《重污染天气重点行业应急减排措施制定技术指南（2020年修订版）》（环办大气函〔2020〕340号）文件中“工业涂装”行业执行。</w:t>
      </w:r>
    </w:p>
    <w:p>
      <w:pPr>
        <w:overflowPunct w:val="0"/>
        <w:topLinePunct/>
        <w:spacing w:line="500" w:lineRule="exact"/>
        <w:ind w:firstLine="576" w:firstLineChars="200"/>
        <w:outlineLvl w:val="2"/>
        <w:rPr>
          <w:rFonts w:eastAsia="楷体_GB2312"/>
          <w:kern w:val="0"/>
          <w:sz w:val="30"/>
          <w:szCs w:val="30"/>
        </w:rPr>
      </w:pPr>
      <w:bookmarkStart w:id="101" w:name="_Toc1673"/>
      <w:bookmarkStart w:id="102" w:name="_Toc121413369"/>
      <w:r>
        <w:rPr>
          <w:rFonts w:eastAsia="楷体_GB2312"/>
          <w:kern w:val="0"/>
          <w:sz w:val="30"/>
          <w:szCs w:val="30"/>
        </w:rPr>
        <w:t>（二）生产工序</w:t>
      </w:r>
      <w:bookmarkEnd w:id="101"/>
      <w:bookmarkEnd w:id="102"/>
    </w:p>
    <w:p>
      <w:pPr>
        <w:overflowPunct w:val="0"/>
        <w:topLinePunct/>
        <w:spacing w:line="500" w:lineRule="exact"/>
        <w:ind w:firstLine="576" w:firstLineChars="200"/>
        <w:rPr>
          <w:sz w:val="30"/>
          <w:szCs w:val="30"/>
        </w:rPr>
      </w:pPr>
      <w:r>
        <w:rPr>
          <w:sz w:val="30"/>
          <w:szCs w:val="30"/>
        </w:rPr>
        <w:t>1、计算机和其他电子设备制造业：涂覆、喷漆</w:t>
      </w:r>
      <w:r>
        <w:rPr>
          <w:rFonts w:hint="eastAsia"/>
          <w:sz w:val="30"/>
          <w:szCs w:val="30"/>
          <w:lang w:eastAsia="zh-CN"/>
        </w:rPr>
        <w:t>（墨）</w:t>
      </w:r>
      <w:r>
        <w:rPr>
          <w:sz w:val="30"/>
          <w:szCs w:val="30"/>
        </w:rPr>
        <w:t>、烘干、电镀等。</w:t>
      </w:r>
    </w:p>
    <w:p>
      <w:pPr>
        <w:overflowPunct w:val="0"/>
        <w:topLinePunct/>
        <w:spacing w:line="500" w:lineRule="exact"/>
        <w:ind w:firstLine="576" w:firstLineChars="200"/>
        <w:rPr>
          <w:sz w:val="30"/>
          <w:szCs w:val="30"/>
        </w:rPr>
      </w:pPr>
      <w:r>
        <w:rPr>
          <w:sz w:val="30"/>
          <w:szCs w:val="30"/>
        </w:rPr>
        <w:t>2、电子器件制造业：清洗、有机涂覆、电镀、化学气相</w:t>
      </w:r>
      <w:r>
        <w:rPr>
          <w:rFonts w:hint="eastAsia"/>
          <w:sz w:val="30"/>
          <w:szCs w:val="30"/>
        </w:rPr>
        <w:t>沉积</w:t>
      </w:r>
      <w:r>
        <w:rPr>
          <w:sz w:val="30"/>
          <w:szCs w:val="30"/>
        </w:rPr>
        <w:t>、光刻（涂布、曝光、显影、刻蚀、剥离）、铜制程、塑封</w:t>
      </w:r>
      <w:r>
        <w:rPr>
          <w:rFonts w:hint="eastAsia"/>
          <w:sz w:val="30"/>
          <w:szCs w:val="30"/>
        </w:rPr>
        <w:t>、</w:t>
      </w:r>
      <w:r>
        <w:rPr>
          <w:sz w:val="30"/>
          <w:szCs w:val="30"/>
        </w:rPr>
        <w:t>烘烤；阵列、彩膜、成盒、模组、蒸镀等。</w:t>
      </w:r>
    </w:p>
    <w:p>
      <w:pPr>
        <w:overflowPunct w:val="0"/>
        <w:topLinePunct/>
        <w:spacing w:line="500" w:lineRule="exact"/>
        <w:ind w:firstLine="576" w:firstLineChars="200"/>
        <w:rPr>
          <w:sz w:val="30"/>
          <w:szCs w:val="30"/>
        </w:rPr>
      </w:pPr>
      <w:r>
        <w:rPr>
          <w:sz w:val="30"/>
          <w:szCs w:val="30"/>
        </w:rPr>
        <w:t>3、电子元件制造业：开料、修边、混合、成型、印刷、清洗、烘干、烧成、电镀、涂覆、点胶、涂胶、显影、刻蚀、钻孔等。</w:t>
      </w:r>
    </w:p>
    <w:p>
      <w:pPr>
        <w:overflowPunct w:val="0"/>
        <w:topLinePunct/>
        <w:spacing w:line="500" w:lineRule="exact"/>
        <w:ind w:firstLine="576" w:firstLineChars="200"/>
        <w:rPr>
          <w:rFonts w:eastAsia="宋体"/>
          <w:sz w:val="28"/>
          <w:szCs w:val="28"/>
        </w:rPr>
      </w:pPr>
      <w:r>
        <w:rPr>
          <w:sz w:val="30"/>
          <w:szCs w:val="30"/>
        </w:rPr>
        <w:t>4、电子专用材料制造业：刻蚀、电镀、合成与配置、上胶烘干、清洗、有机涂覆、混合、粉碎、研磨等。</w:t>
      </w:r>
    </w:p>
    <w:p>
      <w:pPr>
        <w:overflowPunct w:val="0"/>
        <w:topLinePunct/>
        <w:spacing w:line="500" w:lineRule="exact"/>
        <w:ind w:firstLine="576" w:firstLineChars="200"/>
        <w:outlineLvl w:val="2"/>
        <w:rPr>
          <w:rFonts w:eastAsia="楷体_GB2312"/>
          <w:kern w:val="0"/>
          <w:sz w:val="30"/>
          <w:szCs w:val="30"/>
        </w:rPr>
      </w:pPr>
      <w:bookmarkStart w:id="103" w:name="_Toc6633"/>
      <w:bookmarkStart w:id="104" w:name="_Toc121413370"/>
      <w:r>
        <w:rPr>
          <w:rFonts w:eastAsia="楷体_GB2312"/>
          <w:kern w:val="0"/>
          <w:sz w:val="30"/>
          <w:szCs w:val="30"/>
        </w:rPr>
        <w:t>（三）主要污染物产排环节</w:t>
      </w:r>
      <w:bookmarkEnd w:id="103"/>
      <w:bookmarkEnd w:id="104"/>
    </w:p>
    <w:p>
      <w:pPr>
        <w:overflowPunct w:val="0"/>
        <w:topLinePunct/>
        <w:spacing w:line="500" w:lineRule="exact"/>
        <w:ind w:firstLine="576" w:firstLineChars="200"/>
        <w:rPr>
          <w:sz w:val="30"/>
          <w:szCs w:val="30"/>
        </w:rPr>
      </w:pPr>
      <w:r>
        <w:rPr>
          <w:sz w:val="30"/>
          <w:szCs w:val="30"/>
        </w:rPr>
        <w:t>1、</w:t>
      </w:r>
      <w:r>
        <w:rPr>
          <w:rFonts w:hint="eastAsia"/>
          <w:sz w:val="30"/>
          <w:szCs w:val="30"/>
        </w:rPr>
        <w:t>颗粒物（</w:t>
      </w:r>
      <w:r>
        <w:rPr>
          <w:sz w:val="30"/>
          <w:szCs w:val="30"/>
        </w:rPr>
        <w:t>PM</w:t>
      </w:r>
      <w:r>
        <w:rPr>
          <w:rFonts w:hint="eastAsia"/>
          <w:sz w:val="30"/>
          <w:szCs w:val="30"/>
        </w:rPr>
        <w:t>）</w:t>
      </w:r>
      <w:r>
        <w:rPr>
          <w:sz w:val="30"/>
          <w:szCs w:val="30"/>
        </w:rPr>
        <w:t>：主要来自开料、修边、钻孔、成型、焊接、粉碎及粉状物料投料混合等工序。</w:t>
      </w:r>
    </w:p>
    <w:p>
      <w:pPr>
        <w:overflowPunct w:val="0"/>
        <w:topLinePunct/>
        <w:spacing w:line="500" w:lineRule="exact"/>
        <w:ind w:firstLine="576" w:firstLineChars="200"/>
        <w:rPr>
          <w:sz w:val="30"/>
          <w:szCs w:val="30"/>
        </w:rPr>
      </w:pPr>
      <w:r>
        <w:rPr>
          <w:sz w:val="30"/>
          <w:szCs w:val="30"/>
        </w:rPr>
        <w:t>2、</w:t>
      </w:r>
      <w:r>
        <w:rPr>
          <w:rFonts w:hint="eastAsia"/>
          <w:sz w:val="30"/>
          <w:szCs w:val="30"/>
        </w:rPr>
        <w:t>挥发性有机物（</w:t>
      </w:r>
      <w:r>
        <w:rPr>
          <w:sz w:val="30"/>
          <w:szCs w:val="30"/>
        </w:rPr>
        <w:t>VOCs</w:t>
      </w:r>
      <w:r>
        <w:rPr>
          <w:rFonts w:hint="eastAsia"/>
          <w:sz w:val="30"/>
          <w:szCs w:val="30"/>
        </w:rPr>
        <w:t>）</w:t>
      </w:r>
      <w:r>
        <w:rPr>
          <w:sz w:val="30"/>
          <w:szCs w:val="30"/>
        </w:rPr>
        <w:t>：主要来自光刻、化学气相</w:t>
      </w:r>
      <w:r>
        <w:rPr>
          <w:rFonts w:hint="eastAsia"/>
          <w:sz w:val="30"/>
          <w:szCs w:val="30"/>
        </w:rPr>
        <w:t>沉积</w:t>
      </w:r>
      <w:r>
        <w:rPr>
          <w:sz w:val="30"/>
          <w:szCs w:val="30"/>
        </w:rPr>
        <w:t>、阵列、彩膜、成盒、模组、蒸镀、阳极氧化、清洗、涂覆、喷漆</w:t>
      </w:r>
      <w:r>
        <w:rPr>
          <w:rFonts w:hint="eastAsia"/>
          <w:sz w:val="30"/>
          <w:szCs w:val="30"/>
          <w:lang w:eastAsia="zh-CN"/>
        </w:rPr>
        <w:t>（墨）</w:t>
      </w:r>
      <w:r>
        <w:rPr>
          <w:sz w:val="30"/>
          <w:szCs w:val="30"/>
        </w:rPr>
        <w:t>、烘干、胶粘剂使用、印刷等工序。</w:t>
      </w:r>
    </w:p>
    <w:p>
      <w:pPr>
        <w:overflowPunct w:val="0"/>
        <w:topLinePunct/>
        <w:spacing w:line="500" w:lineRule="exact"/>
        <w:ind w:firstLine="576" w:firstLineChars="200"/>
        <w:rPr>
          <w:sz w:val="30"/>
          <w:szCs w:val="30"/>
        </w:rPr>
      </w:pPr>
      <w:r>
        <w:rPr>
          <w:sz w:val="30"/>
          <w:szCs w:val="30"/>
        </w:rPr>
        <w:t>3、</w:t>
      </w:r>
      <w:r>
        <w:rPr>
          <w:rFonts w:hint="eastAsia"/>
          <w:sz w:val="30"/>
          <w:szCs w:val="30"/>
        </w:rPr>
        <w:t>二氧化硫（</w:t>
      </w:r>
      <w:r>
        <w:rPr>
          <w:sz w:val="30"/>
          <w:szCs w:val="30"/>
        </w:rPr>
        <w:t>SO</w:t>
      </w:r>
      <w:r>
        <w:rPr>
          <w:sz w:val="30"/>
          <w:szCs w:val="30"/>
          <w:vertAlign w:val="subscript"/>
        </w:rPr>
        <w:t>2</w:t>
      </w:r>
      <w:r>
        <w:rPr>
          <w:rFonts w:hint="eastAsia"/>
          <w:sz w:val="30"/>
          <w:szCs w:val="30"/>
        </w:rPr>
        <w:t>）</w:t>
      </w:r>
      <w:r>
        <w:rPr>
          <w:sz w:val="30"/>
          <w:szCs w:val="30"/>
        </w:rPr>
        <w:t>：主要来自锅炉废气。</w:t>
      </w:r>
    </w:p>
    <w:p>
      <w:pPr>
        <w:overflowPunct w:val="0"/>
        <w:topLinePunct/>
        <w:spacing w:line="500" w:lineRule="exact"/>
        <w:ind w:firstLine="576" w:firstLineChars="200"/>
        <w:rPr>
          <w:sz w:val="30"/>
          <w:szCs w:val="30"/>
        </w:rPr>
        <w:sectPr>
          <w:headerReference r:id="rId59" w:type="default"/>
          <w:footerReference r:id="rId61" w:type="default"/>
          <w:headerReference r:id="rId60" w:type="even"/>
          <w:footerReference r:id="rId62" w:type="even"/>
          <w:pgSz w:w="11910" w:h="16840"/>
          <w:pgMar w:top="2098" w:right="1474" w:bottom="1247" w:left="1588" w:header="851" w:footer="992" w:gutter="0"/>
          <w:cols w:space="720" w:num="1"/>
          <w:docGrid w:linePitch="286" w:charSpace="0"/>
        </w:sectPr>
      </w:pPr>
      <w:r>
        <w:rPr>
          <w:sz w:val="30"/>
          <w:szCs w:val="30"/>
        </w:rPr>
        <w:t>4、</w:t>
      </w:r>
      <w:r>
        <w:rPr>
          <w:rFonts w:hint="eastAsia"/>
          <w:sz w:val="30"/>
          <w:szCs w:val="30"/>
        </w:rPr>
        <w:t>氮氧化物（</w:t>
      </w:r>
      <w:r>
        <w:rPr>
          <w:sz w:val="30"/>
          <w:szCs w:val="30"/>
        </w:rPr>
        <w:t>NO</w:t>
      </w:r>
      <w:r>
        <w:rPr>
          <w:rFonts w:hint="eastAsia"/>
          <w:i/>
          <w:iCs/>
          <w:sz w:val="30"/>
          <w:szCs w:val="30"/>
          <w:vertAlign w:val="subscript"/>
        </w:rPr>
        <w:t>x</w:t>
      </w:r>
      <w:r>
        <w:rPr>
          <w:rFonts w:hint="eastAsia"/>
          <w:sz w:val="30"/>
          <w:szCs w:val="30"/>
        </w:rPr>
        <w:t>）</w:t>
      </w:r>
      <w:r>
        <w:rPr>
          <w:sz w:val="30"/>
          <w:szCs w:val="30"/>
        </w:rPr>
        <w:t>：主要来自锅炉废气、电镀、刻蚀、烧成等工序。</w:t>
      </w:r>
    </w:p>
    <w:p>
      <w:pPr>
        <w:overflowPunct w:val="0"/>
        <w:topLinePunct/>
        <w:spacing w:line="360" w:lineRule="auto"/>
        <w:jc w:val="left"/>
        <w:outlineLvl w:val="2"/>
        <w:rPr>
          <w:rFonts w:eastAsia="楷体_GB2312"/>
          <w:kern w:val="0"/>
          <w:sz w:val="30"/>
          <w:szCs w:val="30"/>
        </w:rPr>
      </w:pPr>
      <w:bookmarkStart w:id="105" w:name="_Toc121413371"/>
      <w:bookmarkStart w:id="106" w:name="_Toc9933"/>
      <w:r>
        <w:rPr>
          <w:rFonts w:eastAsia="楷体_GB2312"/>
          <w:kern w:val="0"/>
          <w:sz w:val="30"/>
          <w:szCs w:val="30"/>
        </w:rPr>
        <w:t>（四）绩效分级指标</w:t>
      </w:r>
      <w:bookmarkEnd w:id="105"/>
      <w:bookmarkEnd w:id="106"/>
    </w:p>
    <w:p>
      <w:pPr>
        <w:overflowPunct w:val="0"/>
        <w:topLinePunct/>
        <w:jc w:val="center"/>
        <w:rPr>
          <w:rFonts w:eastAsia="黑体"/>
          <w:kern w:val="0"/>
          <w:sz w:val="24"/>
          <w:szCs w:val="24"/>
        </w:rPr>
      </w:pPr>
      <w:r>
        <w:rPr>
          <w:rFonts w:eastAsia="黑体"/>
          <w:kern w:val="0"/>
          <w:sz w:val="24"/>
          <w:szCs w:val="24"/>
        </w:rPr>
        <w:t>表8-1  电子工业绩效分级指标</w:t>
      </w:r>
    </w:p>
    <w:tbl>
      <w:tblPr>
        <w:tblStyle w:val="8"/>
        <w:tblW w:w="5001"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82"/>
        <w:gridCol w:w="4973"/>
        <w:gridCol w:w="5401"/>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blHeader/>
        </w:trPr>
        <w:tc>
          <w:tcPr>
            <w:tcW w:w="436" w:type="pct"/>
            <w:vAlign w:val="center"/>
          </w:tcPr>
          <w:p>
            <w:pPr>
              <w:overflowPunct w:val="0"/>
              <w:topLinePunct/>
              <w:spacing w:line="240" w:lineRule="auto"/>
              <w:jc w:val="center"/>
              <w:rPr>
                <w:rFonts w:hint="default" w:eastAsia="黑体"/>
                <w:kern w:val="0"/>
                <w:sz w:val="21"/>
                <w:szCs w:val="21"/>
              </w:rPr>
            </w:pPr>
            <w:r>
              <w:rPr>
                <w:rFonts w:hint="default" w:eastAsia="黑体"/>
                <w:kern w:val="0"/>
                <w:sz w:val="21"/>
                <w:szCs w:val="21"/>
              </w:rPr>
              <w:t>差异化指标</w:t>
            </w:r>
          </w:p>
        </w:tc>
        <w:tc>
          <w:tcPr>
            <w:tcW w:w="1834" w:type="pct"/>
            <w:vAlign w:val="center"/>
          </w:tcPr>
          <w:p>
            <w:pPr>
              <w:overflowPunct w:val="0"/>
              <w:topLinePunct/>
              <w:spacing w:line="240" w:lineRule="auto"/>
              <w:jc w:val="center"/>
              <w:rPr>
                <w:rFonts w:hint="default" w:eastAsia="黑体"/>
                <w:kern w:val="0"/>
                <w:sz w:val="21"/>
                <w:szCs w:val="21"/>
              </w:rPr>
            </w:pPr>
            <w:r>
              <w:rPr>
                <w:rFonts w:hint="default" w:eastAsia="黑体"/>
                <w:kern w:val="0"/>
                <w:sz w:val="21"/>
                <w:szCs w:val="21"/>
              </w:rPr>
              <w:t>A级企业</w:t>
            </w:r>
          </w:p>
        </w:tc>
        <w:tc>
          <w:tcPr>
            <w:tcW w:w="1992" w:type="pct"/>
            <w:vAlign w:val="center"/>
          </w:tcPr>
          <w:p>
            <w:pPr>
              <w:overflowPunct w:val="0"/>
              <w:topLinePunct/>
              <w:spacing w:line="240" w:lineRule="auto"/>
              <w:jc w:val="center"/>
              <w:rPr>
                <w:rFonts w:hint="default" w:eastAsia="黑体"/>
                <w:kern w:val="0"/>
                <w:sz w:val="21"/>
                <w:szCs w:val="21"/>
              </w:rPr>
            </w:pPr>
            <w:r>
              <w:rPr>
                <w:rFonts w:hint="default" w:eastAsia="黑体"/>
                <w:kern w:val="0"/>
                <w:sz w:val="21"/>
                <w:szCs w:val="21"/>
              </w:rPr>
              <w:t>B级企业</w:t>
            </w:r>
          </w:p>
        </w:tc>
        <w:tc>
          <w:tcPr>
            <w:tcW w:w="737" w:type="pct"/>
            <w:vAlign w:val="center"/>
          </w:tcPr>
          <w:p>
            <w:pPr>
              <w:overflowPunct w:val="0"/>
              <w:topLinePunct/>
              <w:spacing w:line="240" w:lineRule="auto"/>
              <w:jc w:val="center"/>
              <w:rPr>
                <w:rFonts w:hint="default" w:eastAsia="黑体"/>
                <w:kern w:val="0"/>
                <w:sz w:val="21"/>
                <w:szCs w:val="21"/>
              </w:rPr>
            </w:pPr>
            <w:r>
              <w:rPr>
                <w:rFonts w:hint="default" w:eastAsia="黑体"/>
                <w:kern w:val="0"/>
                <w:sz w:val="21"/>
                <w:szCs w:val="21"/>
              </w:rPr>
              <w:t>C级企业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9" w:hRule="atLeast"/>
        </w:trPr>
        <w:tc>
          <w:tcPr>
            <w:tcW w:w="436" w:type="pct"/>
            <w:vMerge w:val="restart"/>
            <w:vAlign w:val="center"/>
          </w:tcPr>
          <w:p>
            <w:pPr>
              <w:overflowPunct w:val="0"/>
              <w:topLinePunct/>
              <w:spacing w:line="350" w:lineRule="exact"/>
              <w:jc w:val="center"/>
              <w:rPr>
                <w:rFonts w:eastAsia="黑体"/>
                <w:kern w:val="0"/>
                <w:sz w:val="20"/>
              </w:rPr>
            </w:pPr>
            <w:r>
              <w:rPr>
                <w:rFonts w:hint="eastAsia" w:eastAsia="黑体"/>
                <w:kern w:val="0"/>
                <w:sz w:val="20"/>
              </w:rPr>
              <w:t>原辅材料</w:t>
            </w:r>
          </w:p>
        </w:tc>
        <w:tc>
          <w:tcPr>
            <w:tcW w:w="3826" w:type="pct"/>
            <w:gridSpan w:val="2"/>
            <w:vAlign w:val="center"/>
          </w:tcPr>
          <w:p>
            <w:pPr>
              <w:numPr>
                <w:ilvl w:val="0"/>
                <w:numId w:val="0"/>
              </w:numPr>
              <w:overflowPunct w:val="0"/>
              <w:topLinePunct/>
              <w:spacing w:line="350" w:lineRule="exact"/>
              <w:rPr>
                <w:rFonts w:hint="eastAsia"/>
                <w:kern w:val="0"/>
                <w:sz w:val="20"/>
              </w:rPr>
            </w:pPr>
            <w:r>
              <w:rPr>
                <w:rFonts w:hint="eastAsia" w:ascii="Times New Roman" w:hAnsi="Times New Roman" w:eastAsia="仿宋_GB2312" w:cs="Times New Roman"/>
                <w:spacing w:val="-6"/>
                <w:kern w:val="0"/>
                <w:sz w:val="20"/>
                <w:lang w:val="en-US" w:eastAsia="zh-CN" w:bidi="ar-SA"/>
              </w:rPr>
              <w:t>1、</w:t>
            </w:r>
            <w:r>
              <w:rPr>
                <w:rFonts w:hint="eastAsia"/>
                <w:kern w:val="0"/>
                <w:sz w:val="20"/>
              </w:rPr>
              <w:t>涂料：使用粉末涂料或使用符合《低挥发性有机化合物含量涂料产品技术要求》（GB/T38597-2020）规定的低VOCs含量涂料。</w:t>
            </w:r>
          </w:p>
        </w:tc>
        <w:tc>
          <w:tcPr>
            <w:tcW w:w="737" w:type="pct"/>
            <w:vMerge w:val="restart"/>
            <w:vAlign w:val="center"/>
          </w:tcPr>
          <w:p>
            <w:pPr>
              <w:overflowPunct w:val="0"/>
              <w:topLinePunct/>
              <w:spacing w:line="350" w:lineRule="exact"/>
              <w:rPr>
                <w:kern w:val="0"/>
                <w:sz w:val="20"/>
              </w:rPr>
            </w:pPr>
            <w:r>
              <w:rPr>
                <w:rFonts w:hint="eastAsia"/>
                <w:kern w:val="0"/>
                <w:sz w:val="20"/>
              </w:rPr>
              <w:t>未达到</w:t>
            </w:r>
            <w:r>
              <w:rPr>
                <w:rFonts w:hint="eastAsia"/>
                <w:kern w:val="0"/>
                <w:sz w:val="20"/>
                <w:lang w:val="en-US" w:eastAsia="zh-CN"/>
              </w:rPr>
              <w:t>A、</w:t>
            </w:r>
            <w:r>
              <w:rPr>
                <w:rFonts w:hint="eastAsia"/>
                <w:kern w:val="0"/>
                <w:sz w:val="20"/>
              </w:rPr>
              <w:t>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1" w:hRule="atLeast"/>
        </w:trPr>
        <w:tc>
          <w:tcPr>
            <w:tcW w:w="436" w:type="pct"/>
            <w:vMerge w:val="continue"/>
            <w:vAlign w:val="center"/>
          </w:tcPr>
          <w:p>
            <w:pPr>
              <w:overflowPunct w:val="0"/>
              <w:topLinePunct/>
              <w:spacing w:line="350" w:lineRule="exact"/>
              <w:jc w:val="center"/>
              <w:rPr>
                <w:rFonts w:hint="eastAsia" w:eastAsia="黑体"/>
                <w:kern w:val="0"/>
                <w:sz w:val="20"/>
              </w:rPr>
            </w:pPr>
          </w:p>
        </w:tc>
        <w:tc>
          <w:tcPr>
            <w:tcW w:w="3826" w:type="pct"/>
            <w:gridSpan w:val="2"/>
            <w:vAlign w:val="center"/>
          </w:tcPr>
          <w:p>
            <w:pPr>
              <w:numPr>
                <w:ilvl w:val="0"/>
                <w:numId w:val="0"/>
              </w:numPr>
              <w:overflowPunct w:val="0"/>
              <w:topLinePunct/>
              <w:spacing w:line="350" w:lineRule="exact"/>
              <w:rPr>
                <w:rFonts w:hint="eastAsia"/>
                <w:kern w:val="0"/>
                <w:sz w:val="20"/>
                <w:lang w:eastAsia="zh-CN"/>
              </w:rPr>
            </w:pPr>
            <w:r>
              <w:rPr>
                <w:rFonts w:hint="eastAsia" w:ascii="Times New Roman" w:hAnsi="Times New Roman" w:eastAsia="仿宋_GB2312" w:cs="Times New Roman"/>
                <w:spacing w:val="-6"/>
                <w:kern w:val="0"/>
                <w:sz w:val="20"/>
                <w:lang w:val="en-US" w:eastAsia="zh-CN" w:bidi="ar-SA"/>
              </w:rPr>
              <w:t>2、</w:t>
            </w:r>
            <w:r>
              <w:rPr>
                <w:rFonts w:hint="eastAsia"/>
                <w:kern w:val="0"/>
                <w:sz w:val="20"/>
                <w:lang w:eastAsia="zh-CN"/>
              </w:rPr>
              <w:t>油墨：使用符合《</w:t>
            </w:r>
            <w:r>
              <w:rPr>
                <w:rFonts w:hint="eastAsia"/>
                <w:kern w:val="0"/>
                <w:sz w:val="20"/>
              </w:rPr>
              <w:t>油墨中可挥发性有机化合物(VOCs)含量的限值》</w:t>
            </w:r>
            <w:r>
              <w:rPr>
                <w:rFonts w:hint="eastAsia"/>
                <w:kern w:val="0"/>
                <w:sz w:val="20"/>
                <w:lang w:eastAsia="zh-CN"/>
              </w:rPr>
              <w:t>（</w:t>
            </w:r>
            <w:r>
              <w:rPr>
                <w:rFonts w:hint="eastAsia"/>
                <w:kern w:val="0"/>
                <w:sz w:val="20"/>
              </w:rPr>
              <w:t>GB</w:t>
            </w:r>
            <w:r>
              <w:rPr>
                <w:rFonts w:hint="eastAsia"/>
                <w:kern w:val="0"/>
                <w:sz w:val="20"/>
                <w:lang w:val="en-US" w:eastAsia="zh-CN"/>
              </w:rPr>
              <w:t xml:space="preserve"> </w:t>
            </w:r>
            <w:r>
              <w:rPr>
                <w:rFonts w:hint="eastAsia"/>
                <w:kern w:val="0"/>
                <w:sz w:val="20"/>
              </w:rPr>
              <w:t>3</w:t>
            </w:r>
            <w:r>
              <w:rPr>
                <w:rFonts w:hint="eastAsia"/>
                <w:kern w:val="0"/>
                <w:sz w:val="20"/>
                <w:lang w:val="en-US" w:eastAsia="zh-CN"/>
              </w:rPr>
              <w:t>8507</w:t>
            </w:r>
            <w:r>
              <w:rPr>
                <w:rFonts w:hint="eastAsia"/>
                <w:kern w:val="0"/>
                <w:sz w:val="20"/>
              </w:rPr>
              <w:t>-2020</w:t>
            </w:r>
            <w:r>
              <w:rPr>
                <w:rFonts w:hint="eastAsia"/>
                <w:kern w:val="0"/>
                <w:sz w:val="20"/>
                <w:lang w:eastAsia="zh-CN"/>
              </w:rPr>
              <w:t>）》规定的</w:t>
            </w:r>
            <w:r>
              <w:rPr>
                <w:rFonts w:hint="eastAsia"/>
                <w:kern w:val="0"/>
                <w:sz w:val="20"/>
                <w:lang w:val="en-US" w:eastAsia="zh-CN"/>
              </w:rPr>
              <w:t>VOCs含量油墨。</w:t>
            </w:r>
          </w:p>
        </w:tc>
        <w:tc>
          <w:tcPr>
            <w:tcW w:w="737" w:type="pct"/>
            <w:vMerge w:val="continue"/>
            <w:vAlign w:val="center"/>
          </w:tcPr>
          <w:p>
            <w:pPr>
              <w:overflowPunct w:val="0"/>
              <w:topLinePunct/>
              <w:spacing w:line="350" w:lineRule="exact"/>
              <w:rPr>
                <w:rFonts w:hint="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continue"/>
            <w:vAlign w:val="center"/>
          </w:tcPr>
          <w:p>
            <w:pPr>
              <w:overflowPunct w:val="0"/>
              <w:topLinePunct/>
              <w:spacing w:line="350" w:lineRule="exact"/>
              <w:jc w:val="center"/>
              <w:rPr>
                <w:rFonts w:eastAsia="黑体"/>
                <w:kern w:val="0"/>
                <w:sz w:val="20"/>
              </w:rPr>
            </w:pPr>
          </w:p>
        </w:tc>
        <w:tc>
          <w:tcPr>
            <w:tcW w:w="1834" w:type="pct"/>
            <w:vAlign w:val="center"/>
          </w:tcPr>
          <w:p>
            <w:pPr>
              <w:overflowPunct w:val="0"/>
              <w:topLinePunct/>
              <w:spacing w:line="350" w:lineRule="exact"/>
              <w:rPr>
                <w:kern w:val="0"/>
                <w:sz w:val="20"/>
              </w:rPr>
            </w:pPr>
            <w:r>
              <w:rPr>
                <w:rFonts w:hint="eastAsia"/>
                <w:kern w:val="0"/>
                <w:sz w:val="20"/>
                <w:lang w:val="en-US" w:eastAsia="zh-CN"/>
              </w:rPr>
              <w:t>3</w:t>
            </w:r>
            <w:r>
              <w:rPr>
                <w:rFonts w:hint="eastAsia"/>
                <w:kern w:val="0"/>
                <w:sz w:val="20"/>
              </w:rPr>
              <w:t>、胶粘剂：使用符合《胶粘剂挥发性有机化合物限量》（GB</w:t>
            </w:r>
            <w:r>
              <w:rPr>
                <w:rFonts w:hint="eastAsia"/>
                <w:kern w:val="0"/>
                <w:sz w:val="20"/>
                <w:lang w:val="en-US" w:eastAsia="zh-CN"/>
              </w:rPr>
              <w:t xml:space="preserve"> </w:t>
            </w:r>
            <w:r>
              <w:rPr>
                <w:rFonts w:hint="eastAsia"/>
                <w:kern w:val="0"/>
                <w:sz w:val="20"/>
              </w:rPr>
              <w:t>33372-2020）的无溶剂、水基型等非溶剂型胶粘剂比例达75%及以上。</w:t>
            </w:r>
          </w:p>
        </w:tc>
        <w:tc>
          <w:tcPr>
            <w:tcW w:w="1992" w:type="pct"/>
          </w:tcPr>
          <w:p>
            <w:pPr>
              <w:overflowPunct w:val="0"/>
              <w:topLinePunct/>
              <w:spacing w:line="350" w:lineRule="exact"/>
              <w:rPr>
                <w:kern w:val="0"/>
                <w:sz w:val="20"/>
              </w:rPr>
            </w:pPr>
            <w:r>
              <w:rPr>
                <w:rFonts w:hint="eastAsia"/>
                <w:kern w:val="0"/>
                <w:sz w:val="20"/>
                <w:lang w:val="en-US" w:eastAsia="zh-CN"/>
              </w:rPr>
              <w:t>3</w:t>
            </w:r>
            <w:r>
              <w:rPr>
                <w:rFonts w:hint="eastAsia"/>
                <w:kern w:val="0"/>
                <w:sz w:val="20"/>
              </w:rPr>
              <w:t>、胶粘剂：使用符合《胶粘剂挥发性有机化合物限量》（GB</w:t>
            </w:r>
            <w:r>
              <w:rPr>
                <w:rFonts w:hint="eastAsia"/>
                <w:kern w:val="0"/>
                <w:sz w:val="20"/>
                <w:lang w:val="en-US" w:eastAsia="zh-CN"/>
              </w:rPr>
              <w:t xml:space="preserve"> </w:t>
            </w:r>
            <w:r>
              <w:rPr>
                <w:rFonts w:hint="eastAsia"/>
                <w:kern w:val="0"/>
                <w:sz w:val="20"/>
              </w:rPr>
              <w:t>33372-2020）的无溶剂、水基型等非溶剂型胶粘剂比例达50%及以上。</w:t>
            </w:r>
          </w:p>
        </w:tc>
        <w:tc>
          <w:tcPr>
            <w:tcW w:w="737" w:type="pct"/>
            <w:vMerge w:val="restart"/>
            <w:vAlign w:val="center"/>
          </w:tcPr>
          <w:p>
            <w:pPr>
              <w:overflowPunct w:val="0"/>
              <w:topLinePunct/>
              <w:spacing w:line="35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436" w:type="pct"/>
            <w:vMerge w:val="continue"/>
            <w:vAlign w:val="center"/>
          </w:tcPr>
          <w:p>
            <w:pPr>
              <w:overflowPunct w:val="0"/>
              <w:topLinePunct/>
              <w:spacing w:line="350" w:lineRule="exact"/>
              <w:jc w:val="center"/>
              <w:rPr>
                <w:rFonts w:eastAsia="黑体"/>
                <w:kern w:val="0"/>
                <w:sz w:val="20"/>
              </w:rPr>
            </w:pPr>
          </w:p>
        </w:tc>
        <w:tc>
          <w:tcPr>
            <w:tcW w:w="1834" w:type="pct"/>
            <w:vAlign w:val="center"/>
          </w:tcPr>
          <w:p>
            <w:pPr>
              <w:overflowPunct w:val="0"/>
              <w:topLinePunct/>
              <w:spacing w:line="350" w:lineRule="exact"/>
              <w:rPr>
                <w:kern w:val="0"/>
                <w:sz w:val="20"/>
              </w:rPr>
            </w:pPr>
            <w:r>
              <w:rPr>
                <w:rFonts w:hint="eastAsia"/>
                <w:kern w:val="0"/>
                <w:sz w:val="20"/>
                <w:lang w:val="en-US" w:eastAsia="zh-CN"/>
              </w:rPr>
              <w:t>4</w:t>
            </w:r>
            <w:r>
              <w:rPr>
                <w:rFonts w:hint="eastAsia"/>
                <w:kern w:val="0"/>
                <w:sz w:val="20"/>
              </w:rPr>
              <w:t>、清洗剂：使用符合《清洗剂挥发性有机化合物含量限值》（GB38508-2020）的低VOCs含量清洗剂比例达75%及以上（除半导体（含集成电路）制造所使用的清洗剂外）。</w:t>
            </w:r>
          </w:p>
        </w:tc>
        <w:tc>
          <w:tcPr>
            <w:tcW w:w="1992" w:type="pct"/>
          </w:tcPr>
          <w:p>
            <w:pPr>
              <w:overflowPunct w:val="0"/>
              <w:topLinePunct/>
              <w:spacing w:line="350" w:lineRule="exact"/>
              <w:rPr>
                <w:kern w:val="0"/>
                <w:sz w:val="20"/>
              </w:rPr>
            </w:pPr>
            <w:r>
              <w:rPr>
                <w:rFonts w:hint="eastAsia"/>
                <w:kern w:val="0"/>
                <w:sz w:val="20"/>
                <w:lang w:val="en-US" w:eastAsia="zh-CN"/>
              </w:rPr>
              <w:t>4</w:t>
            </w:r>
            <w:r>
              <w:rPr>
                <w:rFonts w:hint="eastAsia"/>
                <w:kern w:val="0"/>
                <w:sz w:val="20"/>
              </w:rPr>
              <w:t>、清洗剂：使用符合《清洗剂挥发性有机化合物含量限值》（GB38508-2020）的低VOCs含量清洗剂比例达50%及以上（除半导体（含集成电路）制造所使用的清洗剂外）。</w:t>
            </w:r>
          </w:p>
        </w:tc>
        <w:tc>
          <w:tcPr>
            <w:tcW w:w="737" w:type="pct"/>
            <w:vMerge w:val="continue"/>
            <w:vAlign w:val="center"/>
          </w:tcPr>
          <w:p>
            <w:pPr>
              <w:overflowPunct w:val="0"/>
              <w:topLinePunct/>
              <w:spacing w:line="350" w:lineRule="exac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continue"/>
            <w:vAlign w:val="center"/>
          </w:tcPr>
          <w:p>
            <w:pPr>
              <w:overflowPunct w:val="0"/>
              <w:topLinePunct/>
              <w:spacing w:line="350" w:lineRule="exact"/>
              <w:jc w:val="center"/>
              <w:rPr>
                <w:rFonts w:eastAsia="黑体"/>
                <w:kern w:val="0"/>
                <w:sz w:val="20"/>
              </w:rPr>
            </w:pPr>
          </w:p>
        </w:tc>
        <w:tc>
          <w:tcPr>
            <w:tcW w:w="4563" w:type="pct"/>
            <w:gridSpan w:val="3"/>
            <w:vAlign w:val="center"/>
          </w:tcPr>
          <w:p>
            <w:pPr>
              <w:overflowPunct w:val="0"/>
              <w:topLinePunct/>
              <w:spacing w:line="350" w:lineRule="exact"/>
              <w:rPr>
                <w:kern w:val="0"/>
                <w:sz w:val="20"/>
              </w:rPr>
            </w:pPr>
            <w:r>
              <w:rPr>
                <w:rFonts w:hint="eastAsia"/>
                <w:kern w:val="0"/>
                <w:sz w:val="20"/>
              </w:rPr>
              <w:t>备注：若某一工序使用的涂料无低VOCs含量涂料产品替代方案，其VOCs含量应满足《工业防护涂料中有害物质限量》(GB30981-2020) 等标准的要求。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restart"/>
            <w:vAlign w:val="center"/>
          </w:tcPr>
          <w:p>
            <w:pPr>
              <w:overflowPunct w:val="0"/>
              <w:topLinePunct/>
              <w:spacing w:line="350" w:lineRule="exact"/>
              <w:jc w:val="center"/>
              <w:rPr>
                <w:rFonts w:eastAsia="黑体"/>
                <w:kern w:val="0"/>
                <w:sz w:val="20"/>
              </w:rPr>
            </w:pPr>
            <w:r>
              <w:rPr>
                <w:rFonts w:hint="eastAsia" w:eastAsia="黑体"/>
                <w:kern w:val="0"/>
                <w:sz w:val="20"/>
              </w:rPr>
              <w:t>无组织排放管控</w:t>
            </w:r>
          </w:p>
        </w:tc>
        <w:tc>
          <w:tcPr>
            <w:tcW w:w="4563" w:type="pct"/>
            <w:gridSpan w:val="3"/>
            <w:vAlign w:val="center"/>
          </w:tcPr>
          <w:p>
            <w:pPr>
              <w:overflowPunct w:val="0"/>
              <w:topLinePunct/>
              <w:spacing w:line="350" w:lineRule="exact"/>
              <w:rPr>
                <w:kern w:val="0"/>
                <w:sz w:val="20"/>
              </w:rPr>
            </w:pPr>
            <w:r>
              <w:rPr>
                <w:rFonts w:hint="eastAsia"/>
                <w:kern w:val="0"/>
                <w:sz w:val="20"/>
              </w:rPr>
              <w:t>1、满足《挥发性有机物无组织排放控制标准》（GB37822-2019）特别控制要求。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436" w:type="pct"/>
            <w:vMerge w:val="continue"/>
            <w:vAlign w:val="center"/>
          </w:tcPr>
          <w:p>
            <w:pPr>
              <w:overflowPunct w:val="0"/>
              <w:topLinePunct/>
              <w:spacing w:line="350" w:lineRule="exact"/>
              <w:jc w:val="center"/>
              <w:rPr>
                <w:rFonts w:eastAsia="黑体"/>
                <w:spacing w:val="0"/>
                <w:sz w:val="20"/>
              </w:rPr>
            </w:pPr>
          </w:p>
        </w:tc>
        <w:tc>
          <w:tcPr>
            <w:tcW w:w="3826" w:type="pct"/>
            <w:gridSpan w:val="2"/>
            <w:vAlign w:val="center"/>
          </w:tcPr>
          <w:p>
            <w:pPr>
              <w:overflowPunct w:val="0"/>
              <w:topLinePunct/>
              <w:spacing w:line="350" w:lineRule="exact"/>
              <w:rPr>
                <w:kern w:val="0"/>
                <w:sz w:val="20"/>
              </w:rPr>
            </w:pPr>
            <w:r>
              <w:rPr>
                <w:rFonts w:hint="eastAsia"/>
                <w:kern w:val="0"/>
                <w:sz w:val="20"/>
              </w:rPr>
              <w:t>2、酸碱类物料应储存于密闭的容器、储罐、储库中；盛装酸碱类易挥发物料的容器在非取用状态或废弃时应加盖、封口，保持密闭。</w:t>
            </w:r>
          </w:p>
        </w:tc>
        <w:tc>
          <w:tcPr>
            <w:tcW w:w="737" w:type="pct"/>
            <w:vMerge w:val="restart"/>
            <w:vAlign w:val="center"/>
          </w:tcPr>
          <w:p>
            <w:pPr>
              <w:overflowPunct w:val="0"/>
              <w:topLinePunct/>
              <w:spacing w:line="350" w:lineRule="exact"/>
              <w:rPr>
                <w:kern w:val="0"/>
                <w:sz w:val="20"/>
              </w:rPr>
            </w:pPr>
            <w:r>
              <w:rPr>
                <w:rFonts w:hint="default"/>
                <w:kern w:val="0"/>
                <w:sz w:val="20"/>
              </w:rPr>
              <w:t>未达到</w:t>
            </w:r>
            <w:r>
              <w:rPr>
                <w:rFonts w:hint="eastAsia"/>
                <w:kern w:val="0"/>
                <w:sz w:val="20"/>
              </w:rPr>
              <w:t>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continue"/>
            <w:vAlign w:val="center"/>
          </w:tcPr>
          <w:p>
            <w:pPr>
              <w:overflowPunct w:val="0"/>
              <w:topLinePunct/>
              <w:spacing w:line="350" w:lineRule="exact"/>
              <w:jc w:val="center"/>
              <w:rPr>
                <w:rFonts w:eastAsia="黑体"/>
                <w:spacing w:val="0"/>
                <w:sz w:val="20"/>
                <w:highlight w:val="none"/>
              </w:rPr>
            </w:pPr>
          </w:p>
        </w:tc>
        <w:tc>
          <w:tcPr>
            <w:tcW w:w="3826" w:type="pct"/>
            <w:gridSpan w:val="2"/>
            <w:vAlign w:val="center"/>
          </w:tcPr>
          <w:p>
            <w:pPr>
              <w:overflowPunct w:val="0"/>
              <w:topLinePunct/>
              <w:spacing w:line="350" w:lineRule="exact"/>
              <w:rPr>
                <w:kern w:val="0"/>
                <w:sz w:val="20"/>
                <w:highlight w:val="none"/>
              </w:rPr>
            </w:pPr>
            <w:r>
              <w:rPr>
                <w:rFonts w:hint="eastAsia"/>
                <w:kern w:val="0"/>
                <w:sz w:val="20"/>
                <w:highlight w:val="none"/>
              </w:rPr>
              <w:t>3、</w:t>
            </w:r>
            <w:r>
              <w:rPr>
                <w:rFonts w:hint="eastAsia"/>
                <w:kern w:val="0"/>
                <w:sz w:val="20"/>
                <w:highlight w:val="none"/>
                <w:lang w:eastAsia="zh-CN"/>
              </w:rPr>
              <w:t>未使用的</w:t>
            </w:r>
            <w:r>
              <w:rPr>
                <w:rFonts w:hint="eastAsia"/>
                <w:kern w:val="0"/>
                <w:sz w:val="20"/>
                <w:highlight w:val="none"/>
              </w:rPr>
              <w:t>VOCs 物料应储存于密闭的容器、包装袋、储罐，储库、料仓应保持密闭；盛装VOCs物料的容器或包装袋在非取用状态或废弃时应加盖、封口，保持密闭；</w:t>
            </w:r>
            <w:r>
              <w:rPr>
                <w:rFonts w:hint="eastAsia"/>
                <w:kern w:val="0"/>
                <w:sz w:val="20"/>
                <w:highlight w:val="none"/>
                <w:lang w:eastAsia="zh-CN"/>
              </w:rPr>
              <w:t>已使用的</w:t>
            </w:r>
            <w:r>
              <w:rPr>
                <w:rFonts w:hint="eastAsia"/>
                <w:kern w:val="0"/>
                <w:sz w:val="20"/>
                <w:highlight w:val="none"/>
              </w:rPr>
              <w:t xml:space="preserve"> VOCs 物料应存放于</w:t>
            </w:r>
            <w:r>
              <w:rPr>
                <w:rFonts w:hint="eastAsia"/>
                <w:kern w:val="0"/>
                <w:sz w:val="20"/>
                <w:highlight w:val="none"/>
                <w:lang w:eastAsia="zh-CN"/>
              </w:rPr>
              <w:t>密闭车间内</w:t>
            </w:r>
            <w:r>
              <w:rPr>
                <w:rFonts w:hint="default"/>
                <w:kern w:val="0"/>
                <w:sz w:val="20"/>
                <w:highlight w:val="none"/>
                <w:lang w:eastAsia="zh-CN"/>
              </w:rPr>
              <w:t>，且配备有废气收集处理设施</w:t>
            </w:r>
            <w:r>
              <w:rPr>
                <w:rFonts w:hint="eastAsia"/>
                <w:kern w:val="0"/>
                <w:sz w:val="20"/>
                <w:highlight w:val="none"/>
              </w:rPr>
              <w:t>。</w:t>
            </w:r>
          </w:p>
        </w:tc>
        <w:tc>
          <w:tcPr>
            <w:tcW w:w="737" w:type="pct"/>
            <w:vMerge w:val="continue"/>
            <w:vAlign w:val="center"/>
          </w:tcPr>
          <w:p>
            <w:pPr>
              <w:overflowPunct w:val="0"/>
              <w:topLinePunct/>
              <w:spacing w:line="350" w:lineRule="exac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436" w:type="pct"/>
            <w:vMerge w:val="continue"/>
            <w:vAlign w:val="center"/>
          </w:tcPr>
          <w:p>
            <w:pPr>
              <w:overflowPunct w:val="0"/>
              <w:topLinePunct/>
              <w:spacing w:line="350" w:lineRule="exact"/>
              <w:jc w:val="center"/>
              <w:rPr>
                <w:rFonts w:eastAsia="黑体"/>
                <w:spacing w:val="0"/>
                <w:sz w:val="20"/>
              </w:rPr>
            </w:pPr>
          </w:p>
        </w:tc>
        <w:tc>
          <w:tcPr>
            <w:tcW w:w="3826" w:type="pct"/>
            <w:gridSpan w:val="2"/>
            <w:vAlign w:val="center"/>
          </w:tcPr>
          <w:p>
            <w:pPr>
              <w:overflowPunct w:val="0"/>
              <w:topLinePunct/>
              <w:spacing w:line="350" w:lineRule="exact"/>
              <w:rPr>
                <w:kern w:val="0"/>
                <w:sz w:val="20"/>
              </w:rPr>
            </w:pPr>
            <w:r>
              <w:rPr>
                <w:rFonts w:hint="eastAsia"/>
                <w:kern w:val="0"/>
                <w:sz w:val="20"/>
              </w:rPr>
              <w:t>4、储存真实蒸气压≥76.6kPa 且储罐容积≥30m</w:t>
            </w:r>
            <w:r>
              <w:rPr>
                <w:rFonts w:hint="eastAsia"/>
                <w:kern w:val="0"/>
                <w:sz w:val="20"/>
                <w:vertAlign w:val="superscript"/>
              </w:rPr>
              <w:t>3</w:t>
            </w:r>
            <w:r>
              <w:rPr>
                <w:rFonts w:hint="eastAsia"/>
                <w:kern w:val="0"/>
                <w:sz w:val="20"/>
              </w:rPr>
              <w:t>的挥发性有机液体储罐，采用低压罐、压力罐或其他等效措施；储存真实蒸气压≥27.6kPa但＜76.6kPa 且储罐容积≥30m</w:t>
            </w:r>
            <w:r>
              <w:rPr>
                <w:rFonts w:hint="eastAsia"/>
                <w:kern w:val="0"/>
                <w:sz w:val="20"/>
                <w:vertAlign w:val="superscript"/>
              </w:rPr>
              <w:t>3</w:t>
            </w:r>
            <w:r>
              <w:rPr>
                <w:rFonts w:hint="eastAsia"/>
                <w:kern w:val="0"/>
                <w:sz w:val="20"/>
              </w:rPr>
              <w:t>的挥发性有机液体储罐，采用高效密封方式的浮顶罐，或采用固定顶罐安装密闭排气系统并收集至有机废气治理设施，或采用气相平衡系统等其他等效措施。</w:t>
            </w:r>
          </w:p>
        </w:tc>
        <w:tc>
          <w:tcPr>
            <w:tcW w:w="737" w:type="pct"/>
            <w:vMerge w:val="continue"/>
            <w:vAlign w:val="center"/>
          </w:tcPr>
          <w:p>
            <w:pPr>
              <w:overflowPunct w:val="0"/>
              <w:topLinePunct/>
              <w:spacing w:line="350" w:lineRule="exac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continue"/>
            <w:vAlign w:val="center"/>
          </w:tcPr>
          <w:p>
            <w:pPr>
              <w:overflowPunct w:val="0"/>
              <w:topLinePunct/>
              <w:spacing w:line="350" w:lineRule="exact"/>
              <w:jc w:val="center"/>
              <w:rPr>
                <w:rFonts w:eastAsia="黑体"/>
                <w:spacing w:val="0"/>
                <w:sz w:val="20"/>
                <w:highlight w:val="none"/>
              </w:rPr>
            </w:pPr>
          </w:p>
        </w:tc>
        <w:tc>
          <w:tcPr>
            <w:tcW w:w="3826" w:type="pct"/>
            <w:gridSpan w:val="2"/>
            <w:vAlign w:val="center"/>
          </w:tcPr>
          <w:p>
            <w:pPr>
              <w:overflowPunct w:val="0"/>
              <w:topLinePunct/>
              <w:spacing w:line="350" w:lineRule="exact"/>
              <w:rPr>
                <w:rFonts w:hint="eastAsia" w:eastAsia="仿宋_GB2312"/>
                <w:kern w:val="0"/>
                <w:sz w:val="20"/>
                <w:highlight w:val="none"/>
                <w:lang w:eastAsia="zh-CN"/>
              </w:rPr>
            </w:pPr>
            <w:r>
              <w:rPr>
                <w:rFonts w:hint="eastAsia"/>
                <w:kern w:val="0"/>
                <w:sz w:val="20"/>
                <w:highlight w:val="none"/>
              </w:rPr>
              <w:t>5、喷漆、表面涂覆、烘干、清洗、光刻、成盒、覆膜、显影、剥离、上胶、点胶、印刷、研磨等涉VOCs产生的工序均在密闭厂房或密闭设备</w:t>
            </w:r>
            <w:r>
              <w:rPr>
                <w:rFonts w:hint="eastAsia"/>
                <w:kern w:val="0"/>
                <w:sz w:val="20"/>
                <w:highlight w:val="none"/>
                <w:lang w:eastAsia="zh-CN"/>
              </w:rPr>
              <w:t>内操作，配套</w:t>
            </w:r>
            <w:r>
              <w:rPr>
                <w:rFonts w:hint="eastAsia"/>
                <w:kern w:val="0"/>
                <w:sz w:val="20"/>
                <w:highlight w:val="none"/>
              </w:rPr>
              <w:t>废气收集设施</w:t>
            </w:r>
            <w:r>
              <w:rPr>
                <w:rFonts w:hint="eastAsia"/>
                <w:kern w:val="0"/>
                <w:sz w:val="20"/>
                <w:highlight w:val="none"/>
                <w:lang w:eastAsia="zh-CN"/>
              </w:rPr>
              <w:t>。</w:t>
            </w:r>
          </w:p>
        </w:tc>
        <w:tc>
          <w:tcPr>
            <w:tcW w:w="737" w:type="pct"/>
            <w:vMerge w:val="continue"/>
            <w:vAlign w:val="center"/>
          </w:tcPr>
          <w:p>
            <w:pPr>
              <w:overflowPunct w:val="0"/>
              <w:topLinePunct/>
              <w:spacing w:line="350" w:lineRule="exac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continue"/>
            <w:vAlign w:val="center"/>
          </w:tcPr>
          <w:p>
            <w:pPr>
              <w:overflowPunct w:val="0"/>
              <w:topLinePunct/>
              <w:spacing w:line="350" w:lineRule="exact"/>
              <w:jc w:val="center"/>
              <w:rPr>
                <w:rFonts w:eastAsia="黑体"/>
                <w:spacing w:val="0"/>
                <w:sz w:val="20"/>
              </w:rPr>
            </w:pPr>
          </w:p>
        </w:tc>
        <w:tc>
          <w:tcPr>
            <w:tcW w:w="3826" w:type="pct"/>
            <w:gridSpan w:val="2"/>
            <w:vAlign w:val="center"/>
          </w:tcPr>
          <w:p>
            <w:pPr>
              <w:overflowPunct w:val="0"/>
              <w:topLinePunct/>
              <w:spacing w:line="350" w:lineRule="exact"/>
              <w:rPr>
                <w:kern w:val="0"/>
                <w:sz w:val="20"/>
              </w:rPr>
            </w:pPr>
            <w:r>
              <w:rPr>
                <w:rFonts w:hint="eastAsia"/>
                <w:kern w:val="0"/>
                <w:sz w:val="20"/>
              </w:rPr>
              <w:t>6、开料、修边、钻孔、成型、粉碎及粉状物料投料混合等产生含PM废气的工序，应采用密闭设备或者在密闭空间内操作，废气收集排至粉尘处理系统；无法密闭的，应安装粉尘收集设施，排至粉尘处理系统。</w:t>
            </w:r>
          </w:p>
        </w:tc>
        <w:tc>
          <w:tcPr>
            <w:tcW w:w="737" w:type="pct"/>
            <w:vMerge w:val="continue"/>
            <w:vAlign w:val="center"/>
          </w:tcPr>
          <w:p>
            <w:pPr>
              <w:overflowPunct w:val="0"/>
              <w:topLinePunct/>
              <w:spacing w:line="350" w:lineRule="exac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restart"/>
            <w:vAlign w:val="center"/>
          </w:tcPr>
          <w:p>
            <w:pPr>
              <w:overflowPunct w:val="0"/>
              <w:topLinePunct/>
              <w:spacing w:line="350" w:lineRule="exact"/>
              <w:jc w:val="center"/>
              <w:rPr>
                <w:rFonts w:eastAsia="黑体"/>
                <w:kern w:val="0"/>
                <w:sz w:val="20"/>
              </w:rPr>
            </w:pPr>
            <w:r>
              <w:rPr>
                <w:rFonts w:hint="eastAsia" w:eastAsia="黑体"/>
                <w:kern w:val="0"/>
                <w:sz w:val="20"/>
              </w:rPr>
              <w:t>废水集输和处理</w:t>
            </w:r>
          </w:p>
        </w:tc>
        <w:tc>
          <w:tcPr>
            <w:tcW w:w="3826" w:type="pct"/>
            <w:gridSpan w:val="2"/>
            <w:vAlign w:val="center"/>
          </w:tcPr>
          <w:p>
            <w:pPr>
              <w:overflowPunct w:val="0"/>
              <w:topLinePunct/>
              <w:spacing w:line="350" w:lineRule="exact"/>
              <w:rPr>
                <w:kern w:val="0"/>
                <w:sz w:val="20"/>
              </w:rPr>
            </w:pPr>
            <w:r>
              <w:rPr>
                <w:rFonts w:hint="eastAsia"/>
                <w:kern w:val="0"/>
                <w:sz w:val="20"/>
              </w:rPr>
              <w:t>1、工艺过程排放的含VOCs废水采用密闭管道输送，接入口和排出口采取与环境空气隔离的措施。</w:t>
            </w:r>
          </w:p>
        </w:tc>
        <w:tc>
          <w:tcPr>
            <w:tcW w:w="737" w:type="pct"/>
            <w:vMerge w:val="restart"/>
            <w:vAlign w:val="center"/>
          </w:tcPr>
          <w:p>
            <w:pPr>
              <w:overflowPunct w:val="0"/>
              <w:topLinePunct/>
              <w:spacing w:line="350" w:lineRule="exact"/>
              <w:rPr>
                <w:kern w:val="0"/>
                <w:sz w:val="20"/>
              </w:rPr>
            </w:pPr>
            <w:r>
              <w:rPr>
                <w:rFonts w:hint="default"/>
                <w:kern w:val="0"/>
                <w:sz w:val="20"/>
              </w:rPr>
              <w:t>未达到</w:t>
            </w:r>
            <w:r>
              <w:rPr>
                <w:rFonts w:hint="eastAsia"/>
                <w:kern w:val="0"/>
                <w:sz w:val="20"/>
              </w:rPr>
              <w:t>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continue"/>
            <w:tcBorders>
              <w:top w:val="nil"/>
            </w:tcBorders>
            <w:vAlign w:val="center"/>
          </w:tcPr>
          <w:p>
            <w:pPr>
              <w:overflowPunct w:val="0"/>
              <w:topLinePunct/>
              <w:spacing w:line="350" w:lineRule="exact"/>
              <w:jc w:val="center"/>
              <w:rPr>
                <w:rFonts w:eastAsia="黑体"/>
                <w:spacing w:val="0"/>
                <w:sz w:val="20"/>
              </w:rPr>
            </w:pPr>
          </w:p>
        </w:tc>
        <w:tc>
          <w:tcPr>
            <w:tcW w:w="3826" w:type="pct"/>
            <w:gridSpan w:val="2"/>
            <w:vAlign w:val="center"/>
          </w:tcPr>
          <w:p>
            <w:pPr>
              <w:overflowPunct w:val="0"/>
              <w:topLinePunct/>
              <w:spacing w:line="350" w:lineRule="exact"/>
              <w:rPr>
                <w:kern w:val="0"/>
                <w:sz w:val="20"/>
              </w:rPr>
            </w:pPr>
            <w:r>
              <w:rPr>
                <w:rFonts w:hint="eastAsia"/>
                <w:kern w:val="0"/>
                <w:sz w:val="20"/>
              </w:rPr>
              <w:t>2、敞开液面上方100mm处VOCs检测浓度≥100μmol/mol的废水处理设施应加盖密闭，废气应排至VOCs废气收集处理系统。</w:t>
            </w:r>
          </w:p>
        </w:tc>
        <w:tc>
          <w:tcPr>
            <w:tcW w:w="737" w:type="pct"/>
            <w:vMerge w:val="continue"/>
            <w:vAlign w:val="center"/>
          </w:tcPr>
          <w:p>
            <w:pPr>
              <w:overflowPunct w:val="0"/>
              <w:topLinePunct/>
              <w:spacing w:line="350" w:lineRule="exac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436" w:type="pct"/>
            <w:vMerge w:val="restart"/>
            <w:vAlign w:val="center"/>
          </w:tcPr>
          <w:p>
            <w:pPr>
              <w:overflowPunct w:val="0"/>
              <w:topLinePunct/>
              <w:spacing w:line="350" w:lineRule="exact"/>
              <w:jc w:val="center"/>
              <w:rPr>
                <w:rFonts w:hint="eastAsia" w:eastAsia="黑体"/>
                <w:kern w:val="0"/>
                <w:sz w:val="20"/>
              </w:rPr>
            </w:pPr>
            <w:r>
              <w:rPr>
                <w:rFonts w:hint="eastAsia" w:eastAsia="黑体"/>
                <w:kern w:val="0"/>
                <w:sz w:val="20"/>
              </w:rPr>
              <w:t>污染治理</w:t>
            </w:r>
          </w:p>
        </w:tc>
        <w:tc>
          <w:tcPr>
            <w:tcW w:w="3826" w:type="pct"/>
            <w:gridSpan w:val="2"/>
            <w:vAlign w:val="center"/>
          </w:tcPr>
          <w:p>
            <w:pPr>
              <w:overflowPunct w:val="0"/>
              <w:topLinePunct/>
              <w:spacing w:line="350" w:lineRule="exact"/>
              <w:rPr>
                <w:rFonts w:hint="eastAsia"/>
                <w:kern w:val="0"/>
                <w:sz w:val="20"/>
                <w:highlight w:val="none"/>
                <w:lang w:val="en-US" w:eastAsia="zh-CN"/>
              </w:rPr>
            </w:pPr>
            <w:r>
              <w:rPr>
                <w:rFonts w:hint="eastAsia"/>
                <w:kern w:val="0"/>
                <w:sz w:val="20"/>
                <w:highlight w:val="none"/>
                <w:lang w:val="en-US" w:eastAsia="zh-CN"/>
              </w:rPr>
              <w:t>1、光刻、成盒、覆膜、显影、剥离、喷漆（墨）、表面涂覆、烘干、印刷等涉VOCs废气工序，NMHC初始排放速率≥2kg/h时，采用燃烧法、吸附浓缩+热力/催化燃烧等高效治理工艺，处理效率不低于85%；＜2kg/h时，可采用吸附法工艺。</w:t>
            </w:r>
          </w:p>
        </w:tc>
        <w:tc>
          <w:tcPr>
            <w:tcW w:w="737" w:type="pct"/>
            <w:vAlign w:val="center"/>
          </w:tcPr>
          <w:p>
            <w:pPr>
              <w:overflowPunct w:val="0"/>
              <w:topLinePunct/>
              <w:spacing w:line="350" w:lineRule="exact"/>
              <w:rPr>
                <w:rFonts w:hint="default"/>
                <w:kern w:val="0"/>
                <w:sz w:val="20"/>
              </w:rPr>
            </w:pPr>
            <w:r>
              <w:rPr>
                <w:rFonts w:hint="default"/>
                <w:kern w:val="0"/>
                <w:sz w:val="20"/>
              </w:rPr>
              <w:t>未达到</w:t>
            </w:r>
            <w:r>
              <w:rPr>
                <w:rFonts w:hint="eastAsia"/>
                <w:kern w:val="0"/>
                <w:sz w:val="20"/>
                <w:lang w:val="en-US" w:eastAsia="zh-CN"/>
              </w:rPr>
              <w:t>A、</w:t>
            </w:r>
            <w:r>
              <w:rPr>
                <w:rFonts w:hint="eastAsia"/>
                <w:kern w:val="0"/>
                <w:sz w:val="20"/>
              </w:rPr>
              <w:t>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continue"/>
            <w:vAlign w:val="center"/>
          </w:tcPr>
          <w:p>
            <w:pPr>
              <w:overflowPunct w:val="0"/>
              <w:topLinePunct/>
              <w:spacing w:line="350" w:lineRule="exact"/>
              <w:jc w:val="center"/>
              <w:rPr>
                <w:rFonts w:eastAsia="黑体"/>
                <w:spacing w:val="0"/>
                <w:sz w:val="20"/>
              </w:rPr>
            </w:pPr>
          </w:p>
        </w:tc>
        <w:tc>
          <w:tcPr>
            <w:tcW w:w="3826" w:type="pct"/>
            <w:gridSpan w:val="2"/>
            <w:vAlign w:val="center"/>
          </w:tcPr>
          <w:p>
            <w:pPr>
              <w:overflowPunct w:val="0"/>
              <w:topLinePunct/>
              <w:spacing w:line="350" w:lineRule="exact"/>
              <w:rPr>
                <w:kern w:val="0"/>
                <w:sz w:val="20"/>
              </w:rPr>
            </w:pPr>
            <w:r>
              <w:rPr>
                <w:rFonts w:hint="eastAsia"/>
                <w:kern w:val="0"/>
                <w:sz w:val="20"/>
                <w:lang w:val="en-US" w:eastAsia="zh-CN"/>
              </w:rPr>
              <w:t>2</w:t>
            </w:r>
            <w:r>
              <w:rPr>
                <w:rFonts w:hint="eastAsia"/>
                <w:kern w:val="0"/>
                <w:sz w:val="20"/>
              </w:rPr>
              <w:t>、</w:t>
            </w:r>
            <w:r>
              <w:rPr>
                <w:rFonts w:hint="eastAsia"/>
                <w:kern w:val="0"/>
                <w:sz w:val="20"/>
                <w:lang w:eastAsia="zh-CN"/>
              </w:rPr>
              <w:t>涂胶、</w:t>
            </w:r>
            <w:r>
              <w:rPr>
                <w:rFonts w:hint="eastAsia"/>
                <w:kern w:val="0"/>
                <w:sz w:val="20"/>
              </w:rPr>
              <w:t>清洗、擦拭工序VOCs废气采用吸附法、燃烧法、吸附浓缩+热力燃烧/催化燃烧等工艺。</w:t>
            </w:r>
          </w:p>
        </w:tc>
        <w:tc>
          <w:tcPr>
            <w:tcW w:w="737" w:type="pct"/>
            <w:vAlign w:val="center"/>
          </w:tcPr>
          <w:p>
            <w:pPr>
              <w:overflowPunct w:val="0"/>
              <w:topLinePunct/>
              <w:spacing w:line="350" w:lineRule="exact"/>
              <w:rPr>
                <w:kern w:val="0"/>
                <w:sz w:val="20"/>
              </w:rPr>
            </w:pPr>
            <w:r>
              <w:rPr>
                <w:rFonts w:hint="default"/>
                <w:kern w:val="0"/>
                <w:sz w:val="20"/>
              </w:rPr>
              <w:t>未达到</w:t>
            </w:r>
            <w:r>
              <w:rPr>
                <w:rFonts w:hint="eastAsia"/>
                <w:kern w:val="0"/>
                <w:sz w:val="20"/>
              </w:rPr>
              <w:t>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continue"/>
            <w:vAlign w:val="center"/>
          </w:tcPr>
          <w:p>
            <w:pPr>
              <w:overflowPunct w:val="0"/>
              <w:topLinePunct/>
              <w:spacing w:line="350" w:lineRule="exact"/>
              <w:jc w:val="center"/>
              <w:rPr>
                <w:rFonts w:eastAsia="黑体"/>
                <w:spacing w:val="0"/>
                <w:sz w:val="20"/>
              </w:rPr>
            </w:pPr>
          </w:p>
        </w:tc>
        <w:tc>
          <w:tcPr>
            <w:tcW w:w="3826" w:type="pct"/>
            <w:gridSpan w:val="2"/>
            <w:vAlign w:val="center"/>
          </w:tcPr>
          <w:p>
            <w:pPr>
              <w:overflowPunct w:val="0"/>
              <w:topLinePunct/>
              <w:spacing w:line="350" w:lineRule="exact"/>
              <w:rPr>
                <w:kern w:val="0"/>
                <w:sz w:val="20"/>
              </w:rPr>
            </w:pPr>
            <w:r>
              <w:rPr>
                <w:rFonts w:hint="eastAsia"/>
                <w:kern w:val="0"/>
                <w:sz w:val="20"/>
                <w:lang w:val="en-US" w:eastAsia="zh-CN"/>
              </w:rPr>
              <w:t>3</w:t>
            </w:r>
            <w:r>
              <w:rPr>
                <w:rFonts w:hint="eastAsia"/>
                <w:kern w:val="0"/>
                <w:sz w:val="20"/>
              </w:rPr>
              <w:t>、表面涂覆、扩散、电镀、化学气相沉积（CVD）及蚀刻等过程的酸碱废气采用吸收法等工艺。</w:t>
            </w:r>
          </w:p>
        </w:tc>
        <w:tc>
          <w:tcPr>
            <w:tcW w:w="737" w:type="pct"/>
            <w:vAlign w:val="center"/>
          </w:tcPr>
          <w:p>
            <w:pPr>
              <w:overflowPunct w:val="0"/>
              <w:topLinePunct/>
              <w:spacing w:line="350" w:lineRule="exact"/>
              <w:rPr>
                <w:kern w:val="0"/>
                <w:sz w:val="20"/>
              </w:rPr>
            </w:pPr>
            <w:r>
              <w:rPr>
                <w:rFonts w:hint="default"/>
                <w:kern w:val="0"/>
                <w:sz w:val="20"/>
              </w:rPr>
              <w:t>未达到</w:t>
            </w:r>
            <w:r>
              <w:rPr>
                <w:rFonts w:hint="eastAsia"/>
                <w:kern w:val="0"/>
                <w:sz w:val="20"/>
              </w:rPr>
              <w:t>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restart"/>
            <w:vAlign w:val="center"/>
          </w:tcPr>
          <w:p>
            <w:pPr>
              <w:overflowPunct w:val="0"/>
              <w:topLinePunct/>
              <w:spacing w:line="350" w:lineRule="exact"/>
              <w:jc w:val="center"/>
              <w:rPr>
                <w:rFonts w:eastAsia="黑体"/>
                <w:kern w:val="0"/>
                <w:sz w:val="20"/>
              </w:rPr>
            </w:pPr>
            <w:r>
              <w:rPr>
                <w:rFonts w:hint="eastAsia" w:eastAsia="黑体"/>
                <w:kern w:val="0"/>
                <w:sz w:val="20"/>
              </w:rPr>
              <w:t>排放限值</w:t>
            </w:r>
          </w:p>
        </w:tc>
        <w:tc>
          <w:tcPr>
            <w:tcW w:w="1834" w:type="pct"/>
            <w:vAlign w:val="center"/>
          </w:tcPr>
          <w:p>
            <w:pPr>
              <w:overflowPunct w:val="0"/>
              <w:topLinePunct/>
              <w:spacing w:line="350" w:lineRule="exact"/>
              <w:rPr>
                <w:kern w:val="0"/>
                <w:sz w:val="20"/>
              </w:rPr>
            </w:pPr>
            <w:r>
              <w:rPr>
                <w:rFonts w:hint="eastAsia"/>
                <w:kern w:val="0"/>
                <w:sz w:val="20"/>
              </w:rPr>
              <w:t>1、全厂有组织</w:t>
            </w:r>
            <w:r>
              <w:rPr>
                <w:kern w:val="0"/>
                <w:sz w:val="20"/>
              </w:rPr>
              <w:t>PM</w:t>
            </w:r>
            <w:r>
              <w:rPr>
                <w:rFonts w:hint="eastAsia"/>
                <w:kern w:val="0"/>
                <w:sz w:val="20"/>
              </w:rPr>
              <w:t>排放浓度不高于5mg/m</w:t>
            </w:r>
            <w:r>
              <w:rPr>
                <w:rFonts w:cs="Calibri"/>
                <w:kern w:val="0"/>
                <w:sz w:val="20"/>
              </w:rPr>
              <w:t>³</w:t>
            </w:r>
            <w:r>
              <w:rPr>
                <w:rFonts w:hint="eastAsia" w:cs="Calibri"/>
                <w:kern w:val="0"/>
                <w:sz w:val="20"/>
              </w:rPr>
              <w:t>。</w:t>
            </w:r>
          </w:p>
        </w:tc>
        <w:tc>
          <w:tcPr>
            <w:tcW w:w="1992" w:type="pct"/>
            <w:vAlign w:val="center"/>
          </w:tcPr>
          <w:p>
            <w:pPr>
              <w:overflowPunct w:val="0"/>
              <w:topLinePunct/>
              <w:spacing w:line="350" w:lineRule="exact"/>
              <w:rPr>
                <w:kern w:val="0"/>
                <w:sz w:val="20"/>
              </w:rPr>
            </w:pPr>
            <w:r>
              <w:rPr>
                <w:rFonts w:hint="eastAsia"/>
                <w:kern w:val="0"/>
                <w:sz w:val="20"/>
              </w:rPr>
              <w:t>1、全厂有组织</w:t>
            </w:r>
            <w:r>
              <w:rPr>
                <w:kern w:val="0"/>
                <w:sz w:val="20"/>
              </w:rPr>
              <w:t>PM</w:t>
            </w:r>
            <w:r>
              <w:rPr>
                <w:rFonts w:hint="eastAsia"/>
                <w:kern w:val="0"/>
                <w:sz w:val="20"/>
              </w:rPr>
              <w:t>排放浓度不高于10mg/m</w:t>
            </w:r>
            <w:r>
              <w:rPr>
                <w:rFonts w:cs="Calibri"/>
                <w:kern w:val="0"/>
                <w:sz w:val="20"/>
              </w:rPr>
              <w:t>³</w:t>
            </w:r>
            <w:r>
              <w:rPr>
                <w:rFonts w:hint="eastAsia" w:cs="Calibri"/>
                <w:kern w:val="0"/>
                <w:sz w:val="20"/>
              </w:rPr>
              <w:t>。</w:t>
            </w:r>
          </w:p>
        </w:tc>
        <w:tc>
          <w:tcPr>
            <w:tcW w:w="737" w:type="pct"/>
            <w:vAlign w:val="center"/>
          </w:tcPr>
          <w:p>
            <w:pPr>
              <w:overflowPunct w:val="0"/>
              <w:topLinePunct/>
              <w:spacing w:line="350" w:lineRule="exact"/>
              <w:rPr>
                <w:kern w:val="0"/>
                <w:sz w:val="20"/>
              </w:rPr>
            </w:pPr>
            <w:r>
              <w:rPr>
                <w:rFonts w:hint="default"/>
                <w:kern w:val="0"/>
                <w:sz w:val="20"/>
              </w:rPr>
              <w:t>未达到</w:t>
            </w:r>
            <w:r>
              <w:rPr>
                <w:rFonts w:hint="eastAsia"/>
                <w:kern w:val="0"/>
                <w:sz w:val="20"/>
              </w:rPr>
              <w:t>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continue"/>
            <w:vAlign w:val="center"/>
          </w:tcPr>
          <w:p>
            <w:pPr>
              <w:overflowPunct w:val="0"/>
              <w:topLinePunct/>
              <w:spacing w:line="350" w:lineRule="exact"/>
              <w:jc w:val="center"/>
              <w:rPr>
                <w:rFonts w:eastAsia="黑体"/>
                <w:kern w:val="0"/>
                <w:sz w:val="20"/>
              </w:rPr>
            </w:pPr>
          </w:p>
        </w:tc>
        <w:tc>
          <w:tcPr>
            <w:tcW w:w="1834" w:type="pct"/>
            <w:vAlign w:val="center"/>
          </w:tcPr>
          <w:p>
            <w:pPr>
              <w:overflowPunct w:val="0"/>
              <w:topLinePunct/>
              <w:spacing w:line="350" w:lineRule="exact"/>
              <w:rPr>
                <w:kern w:val="0"/>
                <w:sz w:val="20"/>
              </w:rPr>
            </w:pPr>
            <w:r>
              <w:rPr>
                <w:rFonts w:hint="eastAsia"/>
                <w:kern w:val="0"/>
                <w:sz w:val="20"/>
              </w:rPr>
              <w:t>2、</w:t>
            </w:r>
            <w:r>
              <w:rPr>
                <w:rFonts w:hint="eastAsia"/>
                <w:kern w:val="0"/>
                <w:sz w:val="20"/>
                <w:lang w:eastAsia="zh-CN"/>
              </w:rPr>
              <w:t>有组织</w:t>
            </w:r>
            <w:r>
              <w:rPr>
                <w:rFonts w:hint="eastAsia"/>
                <w:kern w:val="0"/>
                <w:sz w:val="20"/>
                <w:lang w:val="en-US" w:eastAsia="zh-CN"/>
              </w:rPr>
              <w:t>NMHC</w:t>
            </w:r>
            <w:r>
              <w:rPr>
                <w:rFonts w:hint="eastAsia"/>
                <w:kern w:val="0"/>
                <w:sz w:val="20"/>
              </w:rPr>
              <w:t>排放浓度不高于20mg/m</w:t>
            </w:r>
            <w:r>
              <w:rPr>
                <w:rFonts w:hint="eastAsia"/>
                <w:kern w:val="0"/>
                <w:sz w:val="20"/>
                <w:vertAlign w:val="superscript"/>
              </w:rPr>
              <w:t>3</w:t>
            </w:r>
            <w:r>
              <w:rPr>
                <w:rFonts w:hint="eastAsia"/>
                <w:kern w:val="0"/>
                <w:sz w:val="20"/>
              </w:rPr>
              <w:t>。</w:t>
            </w:r>
          </w:p>
        </w:tc>
        <w:tc>
          <w:tcPr>
            <w:tcW w:w="1992" w:type="pct"/>
          </w:tcPr>
          <w:p>
            <w:pPr>
              <w:overflowPunct w:val="0"/>
              <w:topLinePunct/>
              <w:spacing w:line="350" w:lineRule="exact"/>
              <w:rPr>
                <w:kern w:val="0"/>
                <w:sz w:val="20"/>
              </w:rPr>
            </w:pPr>
            <w:r>
              <w:rPr>
                <w:rFonts w:hint="eastAsia"/>
                <w:kern w:val="0"/>
                <w:sz w:val="20"/>
              </w:rPr>
              <w:t>2、</w:t>
            </w:r>
            <w:r>
              <w:rPr>
                <w:rFonts w:hint="eastAsia"/>
                <w:kern w:val="0"/>
                <w:sz w:val="20"/>
                <w:lang w:eastAsia="zh-CN"/>
              </w:rPr>
              <w:t>有组织</w:t>
            </w:r>
            <w:r>
              <w:rPr>
                <w:rFonts w:hint="eastAsia"/>
                <w:kern w:val="0"/>
                <w:sz w:val="20"/>
                <w:lang w:val="en-US" w:eastAsia="zh-CN"/>
              </w:rPr>
              <w:t>NMHC</w:t>
            </w:r>
            <w:r>
              <w:rPr>
                <w:rFonts w:hint="eastAsia"/>
                <w:kern w:val="0"/>
                <w:sz w:val="20"/>
              </w:rPr>
              <w:t>排放浓度不高于30mg/m</w:t>
            </w:r>
            <w:r>
              <w:rPr>
                <w:rFonts w:hint="eastAsia"/>
                <w:kern w:val="0"/>
                <w:sz w:val="20"/>
                <w:vertAlign w:val="superscript"/>
              </w:rPr>
              <w:t>3</w:t>
            </w:r>
            <w:r>
              <w:rPr>
                <w:rFonts w:hint="eastAsia"/>
                <w:kern w:val="0"/>
                <w:sz w:val="20"/>
              </w:rPr>
              <w:t>。</w:t>
            </w:r>
          </w:p>
        </w:tc>
        <w:tc>
          <w:tcPr>
            <w:tcW w:w="737" w:type="pct"/>
            <w:vAlign w:val="center"/>
          </w:tcPr>
          <w:p>
            <w:pPr>
              <w:overflowPunct w:val="0"/>
              <w:topLinePunct/>
              <w:spacing w:line="350" w:lineRule="exact"/>
              <w:rPr>
                <w:kern w:val="0"/>
                <w:sz w:val="20"/>
              </w:rPr>
            </w:pPr>
            <w:r>
              <w:rPr>
                <w:rFonts w:hint="default"/>
                <w:kern w:val="0"/>
                <w:sz w:val="20"/>
              </w:rPr>
              <w:t>未达到</w:t>
            </w:r>
            <w:r>
              <w:rPr>
                <w:rFonts w:hint="eastAsia"/>
                <w:kern w:val="0"/>
                <w:sz w:val="20"/>
              </w:rPr>
              <w:t>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436" w:type="pct"/>
            <w:vMerge w:val="continue"/>
            <w:vAlign w:val="center"/>
          </w:tcPr>
          <w:p>
            <w:pPr>
              <w:overflowPunct w:val="0"/>
              <w:topLinePunct/>
              <w:spacing w:line="350" w:lineRule="exact"/>
              <w:jc w:val="center"/>
              <w:rPr>
                <w:rFonts w:eastAsia="黑体"/>
                <w:kern w:val="0"/>
                <w:sz w:val="20"/>
              </w:rPr>
            </w:pPr>
          </w:p>
        </w:tc>
        <w:tc>
          <w:tcPr>
            <w:tcW w:w="1834" w:type="pct"/>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hint="eastAsia"/>
                <w:kern w:val="0"/>
                <w:sz w:val="20"/>
              </w:rPr>
            </w:pPr>
            <w:r>
              <w:rPr>
                <w:rFonts w:hint="eastAsia"/>
                <w:kern w:val="0"/>
                <w:position w:val="1"/>
                <w:sz w:val="20"/>
                <w:lang w:val="en-US" w:eastAsia="zh-CN"/>
              </w:rPr>
              <w:t>3</w:t>
            </w:r>
            <w:r>
              <w:rPr>
                <w:rFonts w:hint="eastAsia"/>
                <w:kern w:val="0"/>
                <w:position w:val="1"/>
                <w:sz w:val="20"/>
              </w:rPr>
              <w:t>、燃气锅炉的</w:t>
            </w:r>
            <w:r>
              <w:rPr>
                <w:kern w:val="0"/>
                <w:position w:val="1"/>
                <w:sz w:val="20"/>
              </w:rPr>
              <w:t>PM</w:t>
            </w:r>
            <w:r>
              <w:rPr>
                <w:rFonts w:hint="eastAsia"/>
                <w:kern w:val="0"/>
                <w:position w:val="1"/>
                <w:sz w:val="20"/>
              </w:rPr>
              <w:t>、SO</w:t>
            </w:r>
            <w:r>
              <w:rPr>
                <w:rFonts w:hint="eastAsia"/>
                <w:kern w:val="0"/>
                <w:sz w:val="20"/>
                <w:vertAlign w:val="subscript"/>
              </w:rPr>
              <w:t>2</w:t>
            </w:r>
            <w:r>
              <w:rPr>
                <w:rFonts w:hint="eastAsia"/>
                <w:kern w:val="0"/>
                <w:position w:val="1"/>
                <w:sz w:val="20"/>
              </w:rPr>
              <w:t>、NO</w:t>
            </w:r>
            <w:r>
              <w:rPr>
                <w:rFonts w:hint="eastAsia"/>
                <w:i/>
                <w:iCs/>
                <w:kern w:val="0"/>
                <w:position w:val="1"/>
                <w:sz w:val="20"/>
                <w:vertAlign w:val="subscript"/>
              </w:rPr>
              <w:t>x</w:t>
            </w:r>
            <w:r>
              <w:rPr>
                <w:rFonts w:hint="eastAsia"/>
                <w:kern w:val="0"/>
                <w:position w:val="1"/>
                <w:sz w:val="20"/>
              </w:rPr>
              <w:t>分别不高于5、10、</w:t>
            </w:r>
            <w:r>
              <w:rPr>
                <w:rFonts w:hint="eastAsia"/>
                <w:kern w:val="0"/>
                <w:position w:val="1"/>
                <w:sz w:val="20"/>
                <w:lang w:val="en-US" w:eastAsia="zh-CN"/>
              </w:rPr>
              <w:t>3</w:t>
            </w:r>
            <w:r>
              <w:rPr>
                <w:rFonts w:hint="eastAsia"/>
                <w:kern w:val="0"/>
                <w:position w:val="1"/>
                <w:sz w:val="20"/>
              </w:rPr>
              <w:t>0</w:t>
            </w:r>
            <w:r>
              <w:rPr>
                <w:rFonts w:hint="eastAsia"/>
                <w:kern w:val="0"/>
                <w:position w:val="1"/>
                <w:sz w:val="20"/>
                <w:lang w:val="en-US" w:eastAsia="zh-CN"/>
              </w:rPr>
              <w:t xml:space="preserve"> </w:t>
            </w:r>
            <w:r>
              <w:rPr>
                <w:rFonts w:hint="eastAsia"/>
                <w:kern w:val="0"/>
                <w:position w:val="1"/>
                <w:sz w:val="20"/>
              </w:rPr>
              <w:t>mg/m</w:t>
            </w:r>
            <w:r>
              <w:rPr>
                <w:rFonts w:hint="eastAsia"/>
                <w:kern w:val="0"/>
                <w:sz w:val="20"/>
                <w:vertAlign w:val="superscript"/>
              </w:rPr>
              <w:t>3</w:t>
            </w:r>
            <w:r>
              <w:rPr>
                <w:rFonts w:hint="eastAsia"/>
                <w:kern w:val="0"/>
                <w:sz w:val="20"/>
                <w:lang w:eastAsia="zh-CN"/>
              </w:rPr>
              <w:t>（基准氧含量</w:t>
            </w:r>
            <w:r>
              <w:rPr>
                <w:rFonts w:hint="eastAsia"/>
                <w:kern w:val="0"/>
                <w:sz w:val="20"/>
                <w:lang w:val="en-US" w:eastAsia="zh-CN"/>
              </w:rPr>
              <w:t>3.5%</w:t>
            </w:r>
            <w:r>
              <w:rPr>
                <w:rFonts w:hint="eastAsia"/>
                <w:kern w:val="0"/>
                <w:sz w:val="20"/>
                <w:lang w:eastAsia="zh-CN"/>
              </w:rPr>
              <w:t>）</w:t>
            </w:r>
            <w:r>
              <w:rPr>
                <w:rFonts w:hint="eastAsia"/>
                <w:kern w:val="0"/>
                <w:sz w:val="20"/>
              </w:rPr>
              <w:t>。</w:t>
            </w:r>
          </w:p>
        </w:tc>
        <w:tc>
          <w:tcPr>
            <w:tcW w:w="1992" w:type="pct"/>
          </w:tcPr>
          <w:p>
            <w:pPr>
              <w:keepNext w:val="0"/>
              <w:keepLines w:val="0"/>
              <w:pageBreakBefore w:val="0"/>
              <w:widowControl w:val="0"/>
              <w:kinsoku/>
              <w:wordWrap/>
              <w:overflowPunct w:val="0"/>
              <w:topLinePunct/>
              <w:autoSpaceDE/>
              <w:autoSpaceDN/>
              <w:bidi w:val="0"/>
              <w:adjustRightInd/>
              <w:snapToGrid/>
              <w:spacing w:line="350" w:lineRule="exact"/>
              <w:textAlignment w:val="auto"/>
              <w:rPr>
                <w:rFonts w:hint="eastAsia"/>
                <w:kern w:val="0"/>
                <w:sz w:val="20"/>
              </w:rPr>
            </w:pPr>
            <w:r>
              <w:rPr>
                <w:rFonts w:hint="eastAsia"/>
                <w:kern w:val="0"/>
                <w:position w:val="1"/>
                <w:sz w:val="20"/>
                <w:lang w:val="en-US" w:eastAsia="zh-CN"/>
              </w:rPr>
              <w:t>3</w:t>
            </w:r>
            <w:r>
              <w:rPr>
                <w:rFonts w:hint="eastAsia"/>
                <w:kern w:val="0"/>
                <w:position w:val="1"/>
                <w:sz w:val="20"/>
              </w:rPr>
              <w:t>、燃气锅炉的</w:t>
            </w:r>
            <w:r>
              <w:rPr>
                <w:kern w:val="0"/>
                <w:position w:val="1"/>
                <w:sz w:val="20"/>
              </w:rPr>
              <w:t>PM</w:t>
            </w:r>
            <w:r>
              <w:rPr>
                <w:rFonts w:hint="eastAsia"/>
                <w:kern w:val="0"/>
                <w:position w:val="1"/>
                <w:sz w:val="20"/>
              </w:rPr>
              <w:t>、SO</w:t>
            </w:r>
            <w:r>
              <w:rPr>
                <w:rFonts w:hint="eastAsia"/>
                <w:kern w:val="0"/>
                <w:sz w:val="20"/>
                <w:vertAlign w:val="subscript"/>
              </w:rPr>
              <w:t>2</w:t>
            </w:r>
            <w:r>
              <w:rPr>
                <w:rFonts w:hint="eastAsia"/>
                <w:kern w:val="0"/>
                <w:position w:val="1"/>
                <w:sz w:val="20"/>
              </w:rPr>
              <w:t>、NO</w:t>
            </w:r>
            <w:r>
              <w:rPr>
                <w:rFonts w:hint="eastAsia"/>
                <w:i/>
                <w:iCs/>
                <w:kern w:val="0"/>
                <w:position w:val="1"/>
                <w:sz w:val="20"/>
                <w:vertAlign w:val="subscript"/>
              </w:rPr>
              <w:t>x</w:t>
            </w:r>
            <w:r>
              <w:rPr>
                <w:rFonts w:hint="eastAsia"/>
                <w:kern w:val="0"/>
                <w:position w:val="1"/>
                <w:sz w:val="20"/>
              </w:rPr>
              <w:t>分别不高于5、10、</w:t>
            </w:r>
            <w:r>
              <w:rPr>
                <w:rFonts w:hint="eastAsia"/>
                <w:kern w:val="0"/>
                <w:position w:val="1"/>
                <w:sz w:val="20"/>
                <w:lang w:val="en-US" w:eastAsia="zh-CN"/>
              </w:rPr>
              <w:t>5</w:t>
            </w:r>
            <w:r>
              <w:rPr>
                <w:rFonts w:hint="eastAsia"/>
                <w:kern w:val="0"/>
                <w:position w:val="1"/>
                <w:sz w:val="20"/>
              </w:rPr>
              <w:t>0</w:t>
            </w:r>
            <w:r>
              <w:rPr>
                <w:rFonts w:hint="eastAsia"/>
                <w:kern w:val="0"/>
                <w:position w:val="1"/>
                <w:sz w:val="20"/>
                <w:lang w:val="en-US" w:eastAsia="zh-CN"/>
              </w:rPr>
              <w:t xml:space="preserve"> </w:t>
            </w:r>
            <w:r>
              <w:rPr>
                <w:rFonts w:hint="eastAsia"/>
                <w:kern w:val="0"/>
                <w:position w:val="1"/>
                <w:sz w:val="20"/>
              </w:rPr>
              <w:t>mg/m</w:t>
            </w:r>
            <w:r>
              <w:rPr>
                <w:rFonts w:hint="eastAsia"/>
                <w:kern w:val="0"/>
                <w:sz w:val="20"/>
                <w:vertAlign w:val="superscript"/>
              </w:rPr>
              <w:t>3</w:t>
            </w:r>
            <w:r>
              <w:rPr>
                <w:rFonts w:hint="eastAsia"/>
                <w:kern w:val="0"/>
                <w:sz w:val="20"/>
                <w:lang w:eastAsia="zh-CN"/>
              </w:rPr>
              <w:t>（基准氧含量</w:t>
            </w:r>
            <w:r>
              <w:rPr>
                <w:rFonts w:hint="eastAsia"/>
                <w:kern w:val="0"/>
                <w:sz w:val="20"/>
                <w:lang w:val="en-US" w:eastAsia="zh-CN"/>
              </w:rPr>
              <w:t>3.5%，</w:t>
            </w:r>
            <w:r>
              <w:rPr>
                <w:rFonts w:hint="eastAsia"/>
                <w:kern w:val="0"/>
                <w:sz w:val="20"/>
                <w:lang w:eastAsia="zh-CN"/>
              </w:rPr>
              <w:t>高污染燃料禁燃区内</w:t>
            </w:r>
            <w:r>
              <w:rPr>
                <w:rFonts w:hint="eastAsia"/>
                <w:kern w:val="0"/>
                <w:sz w:val="20"/>
                <w:lang w:val="en-US" w:eastAsia="zh-CN"/>
              </w:rPr>
              <w:t>NO</w:t>
            </w:r>
            <w:r>
              <w:rPr>
                <w:rFonts w:hint="eastAsia"/>
                <w:i/>
                <w:iCs/>
                <w:kern w:val="0"/>
                <w:sz w:val="20"/>
                <w:vertAlign w:val="subscript"/>
                <w:lang w:val="en-US" w:eastAsia="zh-CN"/>
              </w:rPr>
              <w:t>x</w:t>
            </w:r>
            <w:r>
              <w:rPr>
                <w:rFonts w:hint="eastAsia"/>
                <w:kern w:val="0"/>
                <w:sz w:val="20"/>
                <w:lang w:val="en-US" w:eastAsia="zh-CN"/>
              </w:rPr>
              <w:t xml:space="preserve">执行30 </w:t>
            </w:r>
            <w:r>
              <w:rPr>
                <w:rFonts w:hint="eastAsia"/>
                <w:kern w:val="0"/>
                <w:sz w:val="20"/>
              </w:rPr>
              <w:t>mg/m</w:t>
            </w:r>
            <w:r>
              <w:rPr>
                <w:rFonts w:hint="eastAsia"/>
                <w:kern w:val="0"/>
                <w:sz w:val="20"/>
                <w:vertAlign w:val="superscript"/>
              </w:rPr>
              <w:t>3</w:t>
            </w:r>
            <w:r>
              <w:rPr>
                <w:rFonts w:hint="eastAsia"/>
                <w:kern w:val="0"/>
                <w:sz w:val="20"/>
                <w:lang w:eastAsia="zh-CN"/>
              </w:rPr>
              <w:t>）</w:t>
            </w:r>
            <w:r>
              <w:rPr>
                <w:rFonts w:hint="eastAsia"/>
                <w:kern w:val="0"/>
                <w:sz w:val="20"/>
              </w:rPr>
              <w:t>。</w:t>
            </w:r>
          </w:p>
        </w:tc>
        <w:tc>
          <w:tcPr>
            <w:tcW w:w="737" w:type="pct"/>
            <w:vAlign w:val="center"/>
          </w:tcPr>
          <w:p>
            <w:pPr>
              <w:overflowPunct w:val="0"/>
              <w:topLinePunct/>
              <w:spacing w:line="350" w:lineRule="exact"/>
              <w:rPr>
                <w:rFonts w:hint="default"/>
                <w:kern w:val="0"/>
                <w:sz w:val="20"/>
              </w:rPr>
            </w:pPr>
            <w:r>
              <w:rPr>
                <w:rFonts w:hint="default"/>
                <w:kern w:val="0"/>
                <w:sz w:val="20"/>
              </w:rPr>
              <w:t>未达到</w:t>
            </w:r>
            <w:r>
              <w:rPr>
                <w:rFonts w:hint="eastAsia"/>
                <w:kern w:val="0"/>
                <w:sz w:val="20"/>
              </w:rPr>
              <w:t>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continue"/>
            <w:tcBorders>
              <w:top w:val="nil"/>
            </w:tcBorders>
            <w:vAlign w:val="center"/>
          </w:tcPr>
          <w:p>
            <w:pPr>
              <w:overflowPunct w:val="0"/>
              <w:topLinePunct/>
              <w:spacing w:line="350" w:lineRule="exact"/>
              <w:jc w:val="center"/>
              <w:rPr>
                <w:rFonts w:eastAsia="黑体"/>
                <w:spacing w:val="0"/>
                <w:sz w:val="20"/>
              </w:rPr>
            </w:pPr>
          </w:p>
        </w:tc>
        <w:tc>
          <w:tcPr>
            <w:tcW w:w="3826" w:type="pct"/>
            <w:gridSpan w:val="2"/>
            <w:vAlign w:val="center"/>
          </w:tcPr>
          <w:p>
            <w:pPr>
              <w:overflowPunct w:val="0"/>
              <w:topLinePunct/>
              <w:spacing w:line="350" w:lineRule="exact"/>
              <w:rPr>
                <w:kern w:val="0"/>
                <w:sz w:val="20"/>
              </w:rPr>
            </w:pPr>
            <w:r>
              <w:rPr>
                <w:rFonts w:hint="eastAsia"/>
                <w:kern w:val="0"/>
                <w:sz w:val="20"/>
                <w:lang w:val="en-US" w:eastAsia="zh-CN"/>
              </w:rPr>
              <w:t>4</w:t>
            </w:r>
            <w:r>
              <w:rPr>
                <w:rFonts w:hint="eastAsia"/>
                <w:kern w:val="0"/>
                <w:sz w:val="20"/>
              </w:rPr>
              <w:t>、生产车间通风口或其他开口（孔）等监控点</w:t>
            </w:r>
            <w:r>
              <w:rPr>
                <w:rFonts w:hint="eastAsia"/>
                <w:kern w:val="0"/>
                <w:sz w:val="20"/>
                <w:lang w:val="en-US" w:eastAsia="zh-CN"/>
              </w:rPr>
              <w:t>NMHC</w:t>
            </w:r>
            <w:r>
              <w:rPr>
                <w:rFonts w:hint="eastAsia"/>
                <w:kern w:val="0"/>
                <w:sz w:val="20"/>
              </w:rPr>
              <w:t>的1h平均浓度值不高于6mg/m</w:t>
            </w:r>
            <w:r>
              <w:rPr>
                <w:rFonts w:hint="eastAsia"/>
                <w:kern w:val="0"/>
                <w:sz w:val="20"/>
                <w:vertAlign w:val="superscript"/>
              </w:rPr>
              <w:t>3</w:t>
            </w:r>
            <w:r>
              <w:rPr>
                <w:rFonts w:hint="eastAsia"/>
                <w:kern w:val="0"/>
                <w:sz w:val="20"/>
              </w:rPr>
              <w:t>、任意一次浓度值不高于20mg/m</w:t>
            </w:r>
            <w:r>
              <w:rPr>
                <w:rFonts w:hint="eastAsia"/>
                <w:kern w:val="0"/>
                <w:sz w:val="20"/>
                <w:vertAlign w:val="superscript"/>
              </w:rPr>
              <w:t>3</w:t>
            </w:r>
            <w:r>
              <w:rPr>
                <w:rFonts w:hint="eastAsia"/>
                <w:kern w:val="0"/>
                <w:sz w:val="20"/>
              </w:rPr>
              <w:t>。</w:t>
            </w:r>
          </w:p>
        </w:tc>
        <w:tc>
          <w:tcPr>
            <w:tcW w:w="737" w:type="pct"/>
            <w:vAlign w:val="center"/>
          </w:tcPr>
          <w:p>
            <w:pPr>
              <w:overflowPunct w:val="0"/>
              <w:topLinePunct/>
              <w:spacing w:line="350" w:lineRule="exact"/>
              <w:rPr>
                <w:rFonts w:hint="default"/>
                <w:kern w:val="0"/>
                <w:sz w:val="20"/>
                <w:lang w:val="en-US"/>
              </w:rPr>
            </w:pPr>
            <w:r>
              <w:rPr>
                <w:rFonts w:hint="default"/>
                <w:kern w:val="0"/>
                <w:sz w:val="20"/>
              </w:rPr>
              <w:t>未达到</w:t>
            </w:r>
            <w:r>
              <w:rPr>
                <w:rFonts w:hint="eastAsia"/>
                <w:kern w:val="0"/>
                <w:sz w:val="20"/>
                <w:lang w:val="en-US" w:eastAsia="zh-CN"/>
              </w:rPr>
              <w:t>A、</w:t>
            </w:r>
            <w:r>
              <w:rPr>
                <w:rFonts w:hint="eastAsia"/>
                <w:kern w:val="0"/>
                <w:sz w:val="20"/>
              </w:rPr>
              <w:t>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continue"/>
            <w:tcBorders>
              <w:top w:val="nil"/>
            </w:tcBorders>
            <w:vAlign w:val="center"/>
          </w:tcPr>
          <w:p>
            <w:pPr>
              <w:overflowPunct w:val="0"/>
              <w:topLinePunct/>
              <w:spacing w:line="350" w:lineRule="exact"/>
              <w:jc w:val="center"/>
              <w:rPr>
                <w:rFonts w:eastAsia="黑体"/>
                <w:spacing w:val="0"/>
                <w:sz w:val="20"/>
              </w:rPr>
            </w:pPr>
          </w:p>
        </w:tc>
        <w:tc>
          <w:tcPr>
            <w:tcW w:w="1834" w:type="pct"/>
            <w:vAlign w:val="center"/>
          </w:tcPr>
          <w:p>
            <w:pPr>
              <w:overflowPunct w:val="0"/>
              <w:topLinePunct/>
              <w:spacing w:line="350" w:lineRule="exact"/>
              <w:rPr>
                <w:kern w:val="0"/>
                <w:position w:val="1"/>
                <w:sz w:val="20"/>
              </w:rPr>
            </w:pPr>
            <w:r>
              <w:rPr>
                <w:rFonts w:hint="eastAsia"/>
                <w:kern w:val="0"/>
                <w:position w:val="1"/>
                <w:sz w:val="20"/>
              </w:rPr>
              <w:t>5、酸洗、电镀等金属表面处理工序氯化氢、硫酸雾排放浓度不超过10mg/m</w:t>
            </w:r>
            <w:r>
              <w:rPr>
                <w:rFonts w:hint="eastAsia"/>
                <w:kern w:val="0"/>
                <w:position w:val="1"/>
                <w:sz w:val="20"/>
                <w:vertAlign w:val="superscript"/>
              </w:rPr>
              <w:t>3</w:t>
            </w:r>
            <w:r>
              <w:rPr>
                <w:rFonts w:hint="eastAsia"/>
                <w:kern w:val="0"/>
                <w:position w:val="1"/>
                <w:sz w:val="20"/>
              </w:rPr>
              <w:t>；铬酸雾排放浓度不超过0.05mg/m</w:t>
            </w:r>
            <w:r>
              <w:rPr>
                <w:rFonts w:hint="eastAsia"/>
                <w:kern w:val="0"/>
                <w:position w:val="1"/>
                <w:sz w:val="20"/>
                <w:vertAlign w:val="superscript"/>
              </w:rPr>
              <w:t>3</w:t>
            </w:r>
            <w:r>
              <w:rPr>
                <w:rFonts w:hint="eastAsia"/>
                <w:kern w:val="0"/>
                <w:position w:val="1"/>
                <w:sz w:val="20"/>
              </w:rPr>
              <w:t>；氰化氢排放浓度不超过0.5mg/m</w:t>
            </w:r>
            <w:r>
              <w:rPr>
                <w:rFonts w:hint="eastAsia"/>
                <w:kern w:val="0"/>
                <w:position w:val="1"/>
                <w:sz w:val="20"/>
                <w:vertAlign w:val="superscript"/>
              </w:rPr>
              <w:t>3</w:t>
            </w:r>
            <w:r>
              <w:rPr>
                <w:rFonts w:hint="eastAsia"/>
                <w:kern w:val="0"/>
                <w:position w:val="1"/>
                <w:sz w:val="20"/>
              </w:rPr>
              <w:t>；氟化物排放浓度不超过5mg/m</w:t>
            </w:r>
            <w:r>
              <w:rPr>
                <w:rFonts w:hint="eastAsia"/>
                <w:kern w:val="0"/>
                <w:position w:val="1"/>
                <w:sz w:val="20"/>
                <w:vertAlign w:val="superscript"/>
              </w:rPr>
              <w:t>3</w:t>
            </w:r>
            <w:r>
              <w:rPr>
                <w:rFonts w:hint="eastAsia"/>
                <w:kern w:val="0"/>
                <w:position w:val="1"/>
                <w:sz w:val="20"/>
              </w:rPr>
              <w:t>；NO</w:t>
            </w:r>
            <w:r>
              <w:rPr>
                <w:rFonts w:hint="eastAsia"/>
                <w:i/>
                <w:iCs/>
                <w:kern w:val="0"/>
                <w:position w:val="1"/>
                <w:sz w:val="20"/>
                <w:vertAlign w:val="subscript"/>
              </w:rPr>
              <w:t>x</w:t>
            </w:r>
            <w:r>
              <w:rPr>
                <w:rFonts w:hint="eastAsia"/>
                <w:kern w:val="0"/>
                <w:position w:val="1"/>
                <w:sz w:val="20"/>
              </w:rPr>
              <w:t>排放浓度不超过100mg/m</w:t>
            </w:r>
            <w:r>
              <w:rPr>
                <w:rFonts w:hint="eastAsia"/>
                <w:kern w:val="0"/>
                <w:position w:val="1"/>
                <w:sz w:val="20"/>
                <w:vertAlign w:val="superscript"/>
              </w:rPr>
              <w:t>3</w:t>
            </w:r>
            <w:r>
              <w:rPr>
                <w:rFonts w:hint="eastAsia"/>
                <w:kern w:val="0"/>
                <w:position w:val="1"/>
                <w:sz w:val="20"/>
              </w:rPr>
              <w:t>。</w:t>
            </w:r>
          </w:p>
        </w:tc>
        <w:tc>
          <w:tcPr>
            <w:tcW w:w="1992" w:type="pct"/>
            <w:vAlign w:val="center"/>
          </w:tcPr>
          <w:p>
            <w:pPr>
              <w:overflowPunct w:val="0"/>
              <w:topLinePunct/>
              <w:spacing w:line="350" w:lineRule="exact"/>
              <w:rPr>
                <w:kern w:val="0"/>
                <w:position w:val="1"/>
                <w:sz w:val="20"/>
              </w:rPr>
            </w:pPr>
            <w:r>
              <w:rPr>
                <w:rFonts w:hint="eastAsia"/>
                <w:kern w:val="0"/>
                <w:position w:val="1"/>
                <w:sz w:val="20"/>
              </w:rPr>
              <w:t>5、酸洗、电镀等金属表面处理工序氯化氢、硫酸雾排放浓度不超过20mg/m</w:t>
            </w:r>
            <w:r>
              <w:rPr>
                <w:rFonts w:hint="eastAsia"/>
                <w:kern w:val="0"/>
                <w:position w:val="1"/>
                <w:sz w:val="20"/>
                <w:vertAlign w:val="superscript"/>
              </w:rPr>
              <w:t>3</w:t>
            </w:r>
            <w:r>
              <w:rPr>
                <w:rFonts w:hint="eastAsia"/>
                <w:kern w:val="0"/>
                <w:position w:val="1"/>
                <w:sz w:val="20"/>
              </w:rPr>
              <w:t>；铬酸雾排放浓度不超过0.05mg/m</w:t>
            </w:r>
            <w:r>
              <w:rPr>
                <w:rFonts w:hint="eastAsia"/>
                <w:kern w:val="0"/>
                <w:position w:val="1"/>
                <w:sz w:val="20"/>
                <w:vertAlign w:val="superscript"/>
              </w:rPr>
              <w:t>3</w:t>
            </w:r>
            <w:r>
              <w:rPr>
                <w:rFonts w:hint="eastAsia"/>
                <w:kern w:val="0"/>
                <w:position w:val="1"/>
                <w:sz w:val="20"/>
              </w:rPr>
              <w:t>；氰化氢排放浓度不超过0.5mg/m</w:t>
            </w:r>
            <w:r>
              <w:rPr>
                <w:rFonts w:hint="eastAsia"/>
                <w:kern w:val="0"/>
                <w:position w:val="1"/>
                <w:sz w:val="20"/>
                <w:vertAlign w:val="superscript"/>
              </w:rPr>
              <w:t>3</w:t>
            </w:r>
            <w:r>
              <w:rPr>
                <w:rFonts w:hint="eastAsia"/>
                <w:kern w:val="0"/>
                <w:position w:val="1"/>
                <w:sz w:val="20"/>
              </w:rPr>
              <w:t>；氟化物排放浓度不超过5mg/m</w:t>
            </w:r>
            <w:r>
              <w:rPr>
                <w:rFonts w:hint="eastAsia"/>
                <w:kern w:val="0"/>
                <w:position w:val="1"/>
                <w:sz w:val="20"/>
                <w:vertAlign w:val="superscript"/>
              </w:rPr>
              <w:t>3</w:t>
            </w:r>
            <w:r>
              <w:rPr>
                <w:rFonts w:hint="eastAsia"/>
                <w:kern w:val="0"/>
                <w:position w:val="1"/>
                <w:sz w:val="20"/>
              </w:rPr>
              <w:t>；NO</w:t>
            </w:r>
            <w:r>
              <w:rPr>
                <w:rFonts w:hint="eastAsia"/>
                <w:i/>
                <w:iCs/>
                <w:kern w:val="0"/>
                <w:position w:val="1"/>
                <w:sz w:val="20"/>
                <w:vertAlign w:val="subscript"/>
              </w:rPr>
              <w:t>x</w:t>
            </w:r>
            <w:r>
              <w:rPr>
                <w:rFonts w:hint="eastAsia"/>
                <w:kern w:val="0"/>
                <w:position w:val="1"/>
                <w:sz w:val="20"/>
              </w:rPr>
              <w:t>排放浓度不超过150mg/m</w:t>
            </w:r>
            <w:r>
              <w:rPr>
                <w:rFonts w:hint="eastAsia"/>
                <w:kern w:val="0"/>
                <w:position w:val="1"/>
                <w:sz w:val="20"/>
                <w:vertAlign w:val="superscript"/>
              </w:rPr>
              <w:t>3</w:t>
            </w:r>
            <w:r>
              <w:rPr>
                <w:rFonts w:hint="eastAsia"/>
                <w:kern w:val="0"/>
                <w:position w:val="1"/>
                <w:sz w:val="20"/>
              </w:rPr>
              <w:t>。</w:t>
            </w:r>
          </w:p>
        </w:tc>
        <w:tc>
          <w:tcPr>
            <w:tcW w:w="737" w:type="pct"/>
            <w:vAlign w:val="center"/>
          </w:tcPr>
          <w:p>
            <w:pPr>
              <w:overflowPunct w:val="0"/>
              <w:topLinePunct/>
              <w:spacing w:line="350" w:lineRule="exact"/>
              <w:rPr>
                <w:kern w:val="0"/>
                <w:sz w:val="20"/>
              </w:rPr>
            </w:pPr>
            <w:r>
              <w:rPr>
                <w:rFonts w:hint="default"/>
                <w:kern w:val="0"/>
                <w:sz w:val="20"/>
              </w:rPr>
              <w:t>未达到</w:t>
            </w:r>
            <w:r>
              <w:rPr>
                <w:rFonts w:hint="eastAsia"/>
                <w:kern w:val="0"/>
                <w:sz w:val="20"/>
              </w:rPr>
              <w:t>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continue"/>
            <w:tcBorders>
              <w:top w:val="nil"/>
            </w:tcBorders>
            <w:vAlign w:val="center"/>
          </w:tcPr>
          <w:p>
            <w:pPr>
              <w:overflowPunct w:val="0"/>
              <w:topLinePunct/>
              <w:spacing w:line="350" w:lineRule="exact"/>
              <w:jc w:val="center"/>
              <w:rPr>
                <w:rFonts w:eastAsia="黑体"/>
                <w:spacing w:val="0"/>
                <w:sz w:val="20"/>
              </w:rPr>
            </w:pPr>
          </w:p>
        </w:tc>
        <w:tc>
          <w:tcPr>
            <w:tcW w:w="4563" w:type="pct"/>
            <w:gridSpan w:val="3"/>
            <w:vAlign w:val="center"/>
          </w:tcPr>
          <w:p>
            <w:pPr>
              <w:overflowPunct w:val="0"/>
              <w:topLinePunct/>
              <w:spacing w:line="350" w:lineRule="exact"/>
              <w:rPr>
                <w:kern w:val="0"/>
                <w:sz w:val="20"/>
              </w:rPr>
            </w:pPr>
            <w:r>
              <w:rPr>
                <w:rFonts w:hint="eastAsia"/>
                <w:kern w:val="0"/>
                <w:sz w:val="20"/>
              </w:rPr>
              <w:t>6、其他各项污染物稳定达到现行排放控制要求。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restart"/>
            <w:vAlign w:val="center"/>
          </w:tcPr>
          <w:p>
            <w:pPr>
              <w:overflowPunct w:val="0"/>
              <w:topLinePunct/>
              <w:spacing w:line="320" w:lineRule="exact"/>
              <w:jc w:val="center"/>
              <w:rPr>
                <w:rFonts w:eastAsia="黑体"/>
                <w:kern w:val="0"/>
                <w:sz w:val="20"/>
              </w:rPr>
            </w:pPr>
            <w:r>
              <w:rPr>
                <w:rFonts w:hint="eastAsia" w:eastAsia="黑体"/>
                <w:kern w:val="0"/>
                <w:sz w:val="20"/>
              </w:rPr>
              <w:t>监测监控水平</w:t>
            </w:r>
          </w:p>
        </w:tc>
        <w:tc>
          <w:tcPr>
            <w:tcW w:w="3826" w:type="pct"/>
            <w:gridSpan w:val="2"/>
            <w:vAlign w:val="center"/>
          </w:tcPr>
          <w:p>
            <w:pPr>
              <w:overflowPunct w:val="0"/>
              <w:topLinePunct/>
              <w:spacing w:line="320" w:lineRule="exact"/>
              <w:rPr>
                <w:kern w:val="0"/>
                <w:sz w:val="20"/>
              </w:rPr>
            </w:pPr>
            <w:r>
              <w:rPr>
                <w:rFonts w:hint="eastAsia"/>
                <w:kern w:val="0"/>
                <w:sz w:val="20"/>
              </w:rPr>
              <w:t>1、重点排污单位且废气风量大于10000</w:t>
            </w:r>
            <w:r>
              <w:rPr>
                <w:rFonts w:hint="eastAsia"/>
                <w:kern w:val="0"/>
                <w:sz w:val="20"/>
                <w:lang w:val="en-US" w:eastAsia="zh-CN"/>
              </w:rPr>
              <w:t xml:space="preserve"> </w:t>
            </w:r>
            <w:r>
              <w:rPr>
                <w:rFonts w:hint="eastAsia"/>
                <w:kern w:val="0"/>
                <w:sz w:val="20"/>
              </w:rPr>
              <w:t>m</w:t>
            </w:r>
            <w:r>
              <w:rPr>
                <w:rFonts w:hint="eastAsia"/>
                <w:kern w:val="0"/>
                <w:sz w:val="20"/>
                <w:vertAlign w:val="superscript"/>
              </w:rPr>
              <w:t>3</w:t>
            </w:r>
            <w:r>
              <w:rPr>
                <w:rFonts w:hint="eastAsia"/>
                <w:kern w:val="0"/>
                <w:sz w:val="20"/>
              </w:rPr>
              <w:t>/h的</w:t>
            </w:r>
            <w:r>
              <w:rPr>
                <w:rFonts w:hint="eastAsia"/>
                <w:kern w:val="0"/>
                <w:sz w:val="20"/>
                <w:lang w:eastAsia="zh-CN"/>
              </w:rPr>
              <w:t>有机废气</w:t>
            </w:r>
            <w:r>
              <w:rPr>
                <w:rFonts w:hint="eastAsia"/>
                <w:kern w:val="0"/>
                <w:sz w:val="20"/>
              </w:rPr>
              <w:t>主要排放口安装</w:t>
            </w:r>
            <w:r>
              <w:rPr>
                <w:rFonts w:hint="eastAsia"/>
                <w:kern w:val="0"/>
                <w:sz w:val="20"/>
                <w:lang w:val="en-US" w:eastAsia="zh-CN"/>
              </w:rPr>
              <w:t>NMHC</w:t>
            </w:r>
            <w:r>
              <w:rPr>
                <w:rFonts w:hint="eastAsia"/>
                <w:kern w:val="0"/>
                <w:sz w:val="20"/>
              </w:rPr>
              <w:t>在线监控系统（FID检测器），并与生态环境主管部门的监控设备联网，数据保存一年以上（投产或安装时间不满一年的企业，以现有数据为准）</w:t>
            </w:r>
          </w:p>
        </w:tc>
        <w:tc>
          <w:tcPr>
            <w:tcW w:w="737" w:type="pct"/>
            <w:vMerge w:val="restart"/>
            <w:vAlign w:val="center"/>
          </w:tcPr>
          <w:p>
            <w:pPr>
              <w:overflowPunct w:val="0"/>
              <w:topLinePunct/>
              <w:spacing w:line="320" w:lineRule="exact"/>
              <w:rPr>
                <w:kern w:val="0"/>
                <w:sz w:val="20"/>
              </w:rPr>
            </w:pPr>
            <w:r>
              <w:rPr>
                <w:rFonts w:hint="default"/>
                <w:kern w:val="0"/>
                <w:sz w:val="20"/>
              </w:rPr>
              <w:t>未达到</w:t>
            </w:r>
            <w:r>
              <w:rPr>
                <w:rFonts w:hint="eastAsia"/>
                <w:kern w:val="0"/>
                <w:sz w:val="20"/>
              </w:rPr>
              <w:t>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continue"/>
            <w:vAlign w:val="center"/>
          </w:tcPr>
          <w:p>
            <w:pPr>
              <w:overflowPunct w:val="0"/>
              <w:topLinePunct/>
              <w:spacing w:line="320" w:lineRule="exact"/>
              <w:jc w:val="center"/>
              <w:rPr>
                <w:rFonts w:eastAsia="黑体"/>
                <w:spacing w:val="0"/>
                <w:sz w:val="20"/>
              </w:rPr>
            </w:pPr>
          </w:p>
        </w:tc>
        <w:tc>
          <w:tcPr>
            <w:tcW w:w="3826" w:type="pct"/>
            <w:gridSpan w:val="2"/>
            <w:vAlign w:val="center"/>
          </w:tcPr>
          <w:p>
            <w:pPr>
              <w:overflowPunct w:val="0"/>
              <w:topLinePunct/>
              <w:spacing w:line="320" w:lineRule="exact"/>
              <w:rPr>
                <w:kern w:val="0"/>
                <w:sz w:val="20"/>
              </w:rPr>
            </w:pPr>
            <w:r>
              <w:rPr>
                <w:rFonts w:hint="eastAsia"/>
                <w:kern w:val="0"/>
                <w:sz w:val="20"/>
              </w:rPr>
              <w:t>2、企业主要环保设施及生产设施安装分布式控制系统（DCS）或可保存和查看历史数据的可编程控制系统（PLC），记录企业环保设施运行及相关生产过程主要参数，数据保存一年以上。</w:t>
            </w:r>
          </w:p>
        </w:tc>
        <w:tc>
          <w:tcPr>
            <w:tcW w:w="737" w:type="pct"/>
            <w:vMerge w:val="continue"/>
            <w:vAlign w:val="center"/>
          </w:tcPr>
          <w:p>
            <w:pPr>
              <w:overflowPunct w:val="0"/>
              <w:topLinePunct/>
              <w:spacing w:line="320" w:lineRule="exac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restart"/>
            <w:vAlign w:val="center"/>
          </w:tcPr>
          <w:p>
            <w:pPr>
              <w:overflowPunct w:val="0"/>
              <w:topLinePunct/>
              <w:spacing w:line="320" w:lineRule="exact"/>
              <w:jc w:val="center"/>
              <w:rPr>
                <w:rFonts w:eastAsia="黑体"/>
                <w:kern w:val="0"/>
                <w:sz w:val="20"/>
              </w:rPr>
            </w:pPr>
            <w:r>
              <w:rPr>
                <w:rFonts w:hint="eastAsia" w:eastAsia="黑体"/>
                <w:kern w:val="0"/>
                <w:sz w:val="20"/>
              </w:rPr>
              <w:t>环境管理水平</w:t>
            </w:r>
          </w:p>
        </w:tc>
        <w:tc>
          <w:tcPr>
            <w:tcW w:w="4563" w:type="pct"/>
            <w:gridSpan w:val="3"/>
            <w:vAlign w:val="center"/>
          </w:tcPr>
          <w:p>
            <w:pPr>
              <w:overflowPunct w:val="0"/>
              <w:topLinePunct/>
              <w:spacing w:line="320" w:lineRule="exact"/>
              <w:rPr>
                <w:kern w:val="0"/>
                <w:sz w:val="20"/>
              </w:rPr>
            </w:pPr>
            <w:r>
              <w:rPr>
                <w:rFonts w:hint="eastAsia"/>
                <w:kern w:val="0"/>
                <w:sz w:val="20"/>
              </w:rPr>
              <w:t>环保档案齐全：1、环评批复文件和竣工环保验收文件或者环境现状评估备案证明；2、排污许可证或固定污染物源排污登记回执、年度执行报告；3、环境管理制度（有组织、无组织排放长效管理机制，主要包括岗位责任制度、达标公示制度和定期巡查维护制度等）；4、废气治理设施运行管理规程；5、一年内废气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continue"/>
            <w:vAlign w:val="center"/>
          </w:tcPr>
          <w:p>
            <w:pPr>
              <w:overflowPunct w:val="0"/>
              <w:topLinePunct/>
              <w:spacing w:line="320" w:lineRule="exact"/>
              <w:jc w:val="center"/>
              <w:rPr>
                <w:rFonts w:eastAsia="黑体"/>
                <w:kern w:val="0"/>
                <w:sz w:val="20"/>
              </w:rPr>
            </w:pPr>
          </w:p>
        </w:tc>
        <w:tc>
          <w:tcPr>
            <w:tcW w:w="3826" w:type="pct"/>
            <w:gridSpan w:val="2"/>
            <w:vAlign w:val="center"/>
          </w:tcPr>
          <w:p>
            <w:pPr>
              <w:overflowPunct w:val="0"/>
              <w:topLinePunct/>
              <w:spacing w:line="320" w:lineRule="exact"/>
              <w:rPr>
                <w:kern w:val="0"/>
                <w:sz w:val="20"/>
              </w:rPr>
            </w:pPr>
            <w:r>
              <w:rPr>
                <w:rFonts w:hint="eastAsia"/>
                <w:spacing w:val="-2"/>
                <w:kern w:val="0"/>
                <w:sz w:val="20"/>
              </w:rPr>
              <w:t>台账记录</w:t>
            </w:r>
            <w:r>
              <w:rPr>
                <w:rFonts w:hint="eastAsia"/>
                <w:kern w:val="0"/>
                <w:sz w:val="20"/>
              </w:rPr>
              <w:t>：1、</w:t>
            </w:r>
            <w:r>
              <w:rPr>
                <w:rFonts w:hint="eastAsia"/>
                <w:spacing w:val="-4"/>
                <w:kern w:val="0"/>
                <w:sz w:val="20"/>
              </w:rPr>
              <w:t>生产设施运行管理信息</w:t>
            </w:r>
            <w:r>
              <w:rPr>
                <w:rFonts w:hint="eastAsia"/>
                <w:kern w:val="0"/>
                <w:sz w:val="20"/>
              </w:rPr>
              <w:t>（</w:t>
            </w:r>
            <w:r>
              <w:rPr>
                <w:rFonts w:hint="eastAsia"/>
                <w:spacing w:val="-5"/>
                <w:kern w:val="0"/>
                <w:sz w:val="20"/>
              </w:rPr>
              <w:t>生产时间、运行负荷、产品产量等</w:t>
            </w:r>
            <w:r>
              <w:rPr>
                <w:rFonts w:hint="eastAsia"/>
                <w:kern w:val="0"/>
                <w:sz w:val="20"/>
              </w:rPr>
              <w:t>）；2、所有治理设施应制定操作规程，明确各项运</w:t>
            </w:r>
            <w:r>
              <w:rPr>
                <w:rFonts w:hint="eastAsia"/>
                <w:spacing w:val="-5"/>
                <w:kern w:val="0"/>
                <w:sz w:val="20"/>
              </w:rPr>
              <w:t>行参数，实际运行参数应与操作规程一致。使用吸附组合工艺时，应记录吸附剂的使用</w:t>
            </w:r>
            <w:r>
              <w:rPr>
                <w:rFonts w:hint="eastAsia"/>
                <w:kern w:val="0"/>
                <w:sz w:val="20"/>
              </w:rPr>
              <w:t>/</w:t>
            </w:r>
            <w:r>
              <w:rPr>
                <w:rFonts w:hint="eastAsia"/>
                <w:spacing w:val="-3"/>
                <w:kern w:val="0"/>
                <w:sz w:val="20"/>
              </w:rPr>
              <w:t>更换量、更换</w:t>
            </w:r>
            <w:r>
              <w:rPr>
                <w:rFonts w:hint="eastAsia"/>
                <w:kern w:val="0"/>
                <w:sz w:val="20"/>
              </w:rPr>
              <w:t>/</w:t>
            </w:r>
            <w:r>
              <w:rPr>
                <w:rFonts w:hint="eastAsia"/>
                <w:spacing w:val="-5"/>
                <w:kern w:val="0"/>
                <w:sz w:val="20"/>
              </w:rPr>
              <w:t>再生周期，操作温度应满足</w:t>
            </w:r>
            <w:r>
              <w:rPr>
                <w:rFonts w:hint="eastAsia"/>
                <w:kern w:val="0"/>
                <w:sz w:val="20"/>
                <w:lang w:eastAsia="zh-CN"/>
              </w:rPr>
              <w:t>设计</w:t>
            </w:r>
            <w:r>
              <w:rPr>
                <w:rFonts w:hint="eastAsia"/>
                <w:kern w:val="0"/>
                <w:sz w:val="20"/>
              </w:rPr>
              <w:t>参数的要求，更换的吸附材料按危险废物处置；使用燃烧组合工艺时，应按设计温度运行，记录燃烧温度连续变化的过程</w:t>
            </w:r>
            <w:r>
              <w:rPr>
                <w:rFonts w:hint="eastAsia"/>
                <w:kern w:val="0"/>
                <w:sz w:val="20"/>
                <w:lang w:eastAsia="zh-CN"/>
              </w:rPr>
              <w:t>、</w:t>
            </w:r>
            <w:r>
              <w:rPr>
                <w:rFonts w:hint="eastAsia"/>
                <w:spacing w:val="-5"/>
                <w:kern w:val="0"/>
                <w:sz w:val="20"/>
              </w:rPr>
              <w:t>催化剂用量、种类及更换周期</w:t>
            </w:r>
            <w:r>
              <w:rPr>
                <w:rFonts w:hint="eastAsia"/>
                <w:spacing w:val="-5"/>
                <w:kern w:val="0"/>
                <w:sz w:val="20"/>
                <w:lang w:eastAsia="zh-CN"/>
              </w:rPr>
              <w:t>等</w:t>
            </w:r>
            <w:r>
              <w:rPr>
                <w:rFonts w:hint="eastAsia"/>
                <w:kern w:val="0"/>
                <w:sz w:val="20"/>
              </w:rPr>
              <w:t>；3、</w:t>
            </w:r>
            <w:r>
              <w:rPr>
                <w:rFonts w:hint="eastAsia"/>
                <w:spacing w:val="-4"/>
                <w:kern w:val="0"/>
                <w:sz w:val="20"/>
              </w:rPr>
              <w:t>主要原辅材料消耗记录</w:t>
            </w:r>
            <w:r>
              <w:rPr>
                <w:rFonts w:hint="eastAsia"/>
                <w:kern w:val="0"/>
                <w:sz w:val="20"/>
              </w:rPr>
              <w:t>。</w:t>
            </w:r>
          </w:p>
        </w:tc>
        <w:tc>
          <w:tcPr>
            <w:tcW w:w="737" w:type="pct"/>
            <w:vAlign w:val="center"/>
          </w:tcPr>
          <w:p>
            <w:pPr>
              <w:overflowPunct w:val="0"/>
              <w:topLinePunct/>
              <w:spacing w:line="320" w:lineRule="exact"/>
              <w:rPr>
                <w:kern w:val="0"/>
                <w:sz w:val="20"/>
              </w:rPr>
            </w:pPr>
            <w:r>
              <w:rPr>
                <w:rFonts w:hint="default"/>
                <w:kern w:val="0"/>
                <w:sz w:val="20"/>
              </w:rPr>
              <w:t>未达到</w:t>
            </w:r>
            <w:r>
              <w:rPr>
                <w:rFonts w:hint="eastAsia"/>
                <w:kern w:val="0"/>
                <w:sz w:val="20"/>
              </w:rPr>
              <w:t>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continue"/>
            <w:vAlign w:val="center"/>
          </w:tcPr>
          <w:p>
            <w:pPr>
              <w:overflowPunct w:val="0"/>
              <w:topLinePunct/>
              <w:spacing w:line="320" w:lineRule="exact"/>
              <w:jc w:val="center"/>
              <w:rPr>
                <w:rFonts w:eastAsia="黑体"/>
                <w:spacing w:val="0"/>
                <w:sz w:val="20"/>
              </w:rPr>
            </w:pPr>
          </w:p>
        </w:tc>
        <w:tc>
          <w:tcPr>
            <w:tcW w:w="3826" w:type="pct"/>
            <w:gridSpan w:val="2"/>
            <w:vAlign w:val="center"/>
          </w:tcPr>
          <w:p>
            <w:pPr>
              <w:overflowPunct w:val="0"/>
              <w:topLinePunct/>
              <w:spacing w:line="320" w:lineRule="exact"/>
              <w:rPr>
                <w:kern w:val="0"/>
                <w:sz w:val="20"/>
              </w:rPr>
            </w:pPr>
            <w:r>
              <w:rPr>
                <w:rFonts w:hint="eastAsia"/>
                <w:kern w:val="0"/>
                <w:sz w:val="20"/>
              </w:rPr>
              <w:t>人员配置：配备专职环保人员，并具备相应的环境管理能力（学历、培训、从业经验等）。</w:t>
            </w:r>
          </w:p>
        </w:tc>
        <w:tc>
          <w:tcPr>
            <w:tcW w:w="737" w:type="pct"/>
            <w:vAlign w:val="center"/>
          </w:tcPr>
          <w:p>
            <w:pPr>
              <w:overflowPunct w:val="0"/>
              <w:topLinePunct/>
              <w:spacing w:line="320" w:lineRule="exact"/>
              <w:rPr>
                <w:kern w:val="0"/>
                <w:sz w:val="20"/>
              </w:rPr>
            </w:pPr>
            <w:r>
              <w:rPr>
                <w:rFonts w:hint="default"/>
                <w:kern w:val="0"/>
                <w:sz w:val="20"/>
              </w:rPr>
              <w:t>未达到</w:t>
            </w:r>
            <w:r>
              <w:rPr>
                <w:rFonts w:hint="eastAsia"/>
                <w:kern w:val="0"/>
                <w:sz w:val="20"/>
              </w:rPr>
              <w:t>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restart"/>
            <w:vAlign w:val="center"/>
          </w:tcPr>
          <w:p>
            <w:pPr>
              <w:overflowPunct w:val="0"/>
              <w:topLinePunct/>
              <w:spacing w:line="320" w:lineRule="exact"/>
              <w:jc w:val="center"/>
              <w:rPr>
                <w:rFonts w:eastAsia="黑体"/>
                <w:kern w:val="0"/>
                <w:sz w:val="20"/>
              </w:rPr>
            </w:pPr>
            <w:r>
              <w:rPr>
                <w:rFonts w:hint="eastAsia" w:eastAsia="黑体"/>
                <w:kern w:val="0"/>
                <w:sz w:val="20"/>
              </w:rPr>
              <w:t>运输方式</w:t>
            </w:r>
          </w:p>
        </w:tc>
        <w:tc>
          <w:tcPr>
            <w:tcW w:w="1834" w:type="pct"/>
            <w:vAlign w:val="center"/>
          </w:tcPr>
          <w:p>
            <w:pPr>
              <w:overflowPunct w:val="0"/>
              <w:topLinePunct/>
              <w:spacing w:line="320" w:lineRule="exact"/>
              <w:rPr>
                <w:kern w:val="0"/>
                <w:sz w:val="20"/>
              </w:rPr>
            </w:pPr>
            <w:r>
              <w:rPr>
                <w:rFonts w:hint="eastAsia"/>
                <w:kern w:val="0"/>
                <w:sz w:val="20"/>
              </w:rPr>
              <w:t>1、物料公路运输全部</w:t>
            </w:r>
            <w:r>
              <w:rPr>
                <w:rFonts w:hint="eastAsia"/>
                <w:kern w:val="0"/>
                <w:sz w:val="20"/>
                <w:lang w:eastAsia="zh-CN"/>
              </w:rPr>
              <w:t>使用</w:t>
            </w:r>
            <w:r>
              <w:rPr>
                <w:rFonts w:hint="eastAsia"/>
                <w:kern w:val="0"/>
                <w:sz w:val="20"/>
              </w:rPr>
              <w:t>国五及以上排放标准重型载货车辆（含燃气）或新能源车辆。</w:t>
            </w:r>
          </w:p>
        </w:tc>
        <w:tc>
          <w:tcPr>
            <w:tcW w:w="1992" w:type="pct"/>
            <w:vAlign w:val="center"/>
          </w:tcPr>
          <w:p>
            <w:pPr>
              <w:overflowPunct w:val="0"/>
              <w:topLinePunct/>
              <w:spacing w:line="320" w:lineRule="exact"/>
              <w:rPr>
                <w:kern w:val="0"/>
                <w:sz w:val="20"/>
              </w:rPr>
            </w:pPr>
            <w:r>
              <w:rPr>
                <w:rFonts w:hint="eastAsia"/>
                <w:kern w:val="0"/>
                <w:sz w:val="20"/>
              </w:rPr>
              <w:t>1、物料公路运输使用国五及以上排放标准重型载货车辆（含燃气）或者新能源车辆比例不低于80%，其他车辆达到国四排放标准。</w:t>
            </w:r>
          </w:p>
        </w:tc>
        <w:tc>
          <w:tcPr>
            <w:tcW w:w="737" w:type="pct"/>
            <w:vAlign w:val="center"/>
          </w:tcPr>
          <w:p>
            <w:pPr>
              <w:overflowPunct w:val="0"/>
              <w:topLinePunct/>
              <w:spacing w:line="320" w:lineRule="exact"/>
              <w:rPr>
                <w:kern w:val="0"/>
                <w:sz w:val="20"/>
              </w:rPr>
            </w:pPr>
            <w:r>
              <w:rPr>
                <w:rFonts w:hint="default"/>
                <w:kern w:val="0"/>
                <w:sz w:val="20"/>
              </w:rPr>
              <w:t>未达到</w:t>
            </w:r>
            <w:r>
              <w:rPr>
                <w:rFonts w:hint="eastAsia"/>
                <w:kern w:val="0"/>
                <w:sz w:val="20"/>
              </w:rPr>
              <w:t>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continue"/>
            <w:vAlign w:val="center"/>
          </w:tcPr>
          <w:p>
            <w:pPr>
              <w:overflowPunct w:val="0"/>
              <w:topLinePunct/>
              <w:spacing w:line="320" w:lineRule="exact"/>
              <w:jc w:val="center"/>
              <w:rPr>
                <w:rFonts w:eastAsia="黑体"/>
                <w:spacing w:val="0"/>
                <w:sz w:val="20"/>
              </w:rPr>
            </w:pPr>
          </w:p>
        </w:tc>
        <w:tc>
          <w:tcPr>
            <w:tcW w:w="1834" w:type="pct"/>
            <w:vAlign w:val="center"/>
          </w:tcPr>
          <w:p>
            <w:pPr>
              <w:overflowPunct w:val="0"/>
              <w:topLinePunct/>
              <w:spacing w:line="320" w:lineRule="exact"/>
              <w:rPr>
                <w:kern w:val="0"/>
                <w:sz w:val="20"/>
              </w:rPr>
            </w:pPr>
            <w:r>
              <w:rPr>
                <w:rFonts w:hint="eastAsia"/>
                <w:kern w:val="0"/>
                <w:sz w:val="20"/>
              </w:rPr>
              <w:t>2、厂内运输车辆全部达到国五及以上排放标准（含燃气）或使用新能源车辆。</w:t>
            </w:r>
          </w:p>
        </w:tc>
        <w:tc>
          <w:tcPr>
            <w:tcW w:w="1992" w:type="pct"/>
            <w:vAlign w:val="center"/>
          </w:tcPr>
          <w:p>
            <w:pPr>
              <w:overflowPunct w:val="0"/>
              <w:topLinePunct/>
              <w:spacing w:line="320" w:lineRule="exact"/>
              <w:rPr>
                <w:kern w:val="0"/>
                <w:sz w:val="20"/>
              </w:rPr>
            </w:pPr>
            <w:r>
              <w:rPr>
                <w:rFonts w:hint="eastAsia"/>
                <w:kern w:val="0"/>
                <w:sz w:val="20"/>
              </w:rPr>
              <w:t>2、厂内运输</w:t>
            </w:r>
            <w:r>
              <w:rPr>
                <w:rFonts w:hint="eastAsia"/>
                <w:kern w:val="0"/>
                <w:sz w:val="20"/>
                <w:lang w:eastAsia="zh-CN"/>
              </w:rPr>
              <w:t>车辆</w:t>
            </w:r>
            <w:r>
              <w:rPr>
                <w:rFonts w:hint="eastAsia"/>
                <w:kern w:val="0"/>
                <w:sz w:val="20"/>
              </w:rPr>
              <w:t>使用国五及以上排放标准（含燃气）或者新能源车辆比例不低于80%，其他车辆达到国四排放标准。</w:t>
            </w:r>
          </w:p>
        </w:tc>
        <w:tc>
          <w:tcPr>
            <w:tcW w:w="737" w:type="pct"/>
            <w:vAlign w:val="center"/>
          </w:tcPr>
          <w:p>
            <w:pPr>
              <w:overflowPunct w:val="0"/>
              <w:topLinePunct/>
              <w:spacing w:line="320" w:lineRule="exact"/>
              <w:rPr>
                <w:kern w:val="0"/>
                <w:sz w:val="20"/>
              </w:rPr>
            </w:pPr>
            <w:r>
              <w:rPr>
                <w:rFonts w:hint="default"/>
                <w:kern w:val="0"/>
                <w:sz w:val="20"/>
              </w:rPr>
              <w:t>未达到</w:t>
            </w:r>
            <w:r>
              <w:rPr>
                <w:rFonts w:hint="eastAsia"/>
                <w:kern w:val="0"/>
                <w:sz w:val="20"/>
              </w:rPr>
              <w:t>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Merge w:val="continue"/>
            <w:vAlign w:val="center"/>
          </w:tcPr>
          <w:p>
            <w:pPr>
              <w:overflowPunct w:val="0"/>
              <w:topLinePunct/>
              <w:spacing w:line="320" w:lineRule="exact"/>
              <w:jc w:val="center"/>
              <w:rPr>
                <w:rFonts w:eastAsia="黑体"/>
                <w:spacing w:val="0"/>
                <w:sz w:val="20"/>
              </w:rPr>
            </w:pPr>
          </w:p>
        </w:tc>
        <w:tc>
          <w:tcPr>
            <w:tcW w:w="1834" w:type="pct"/>
            <w:vAlign w:val="center"/>
          </w:tcPr>
          <w:p>
            <w:pPr>
              <w:overflowPunct w:val="0"/>
              <w:topLinePunct/>
              <w:spacing w:line="320" w:lineRule="exact"/>
              <w:rPr>
                <w:kern w:val="0"/>
                <w:sz w:val="20"/>
              </w:rPr>
            </w:pPr>
            <w:r>
              <w:rPr>
                <w:rFonts w:hint="eastAsia"/>
                <w:kern w:val="0"/>
                <w:sz w:val="20"/>
                <w:lang w:val="en-US" w:eastAsia="zh-CN"/>
              </w:rPr>
              <w:t>3</w:t>
            </w:r>
            <w:r>
              <w:rPr>
                <w:rFonts w:hint="eastAsia"/>
                <w:kern w:val="0"/>
                <w:sz w:val="20"/>
              </w:rPr>
              <w:t>、厂内非道路移动机械全部达到国三及以上排放标准或使用新能源机械。</w:t>
            </w:r>
          </w:p>
        </w:tc>
        <w:tc>
          <w:tcPr>
            <w:tcW w:w="1992" w:type="pct"/>
            <w:vAlign w:val="center"/>
          </w:tcPr>
          <w:p>
            <w:pPr>
              <w:overflowPunct w:val="0"/>
              <w:topLinePunct/>
              <w:spacing w:line="320" w:lineRule="exact"/>
              <w:rPr>
                <w:kern w:val="0"/>
                <w:sz w:val="20"/>
              </w:rPr>
            </w:pPr>
            <w:r>
              <w:rPr>
                <w:rFonts w:hint="eastAsia"/>
                <w:kern w:val="0"/>
                <w:sz w:val="20"/>
                <w:lang w:val="en-US" w:eastAsia="zh-CN"/>
              </w:rPr>
              <w:t>3</w:t>
            </w:r>
            <w:r>
              <w:rPr>
                <w:rFonts w:hint="eastAsia"/>
                <w:kern w:val="0"/>
                <w:sz w:val="20"/>
              </w:rPr>
              <w:t>、厂内非道路移动机械达到国三及以上排放标准或使用新能源机械比例不低于80%。</w:t>
            </w:r>
          </w:p>
        </w:tc>
        <w:tc>
          <w:tcPr>
            <w:tcW w:w="737" w:type="pct"/>
            <w:vAlign w:val="center"/>
          </w:tcPr>
          <w:p>
            <w:pPr>
              <w:overflowPunct w:val="0"/>
              <w:topLinePunct/>
              <w:spacing w:line="320" w:lineRule="exact"/>
              <w:rPr>
                <w:kern w:val="0"/>
                <w:sz w:val="20"/>
              </w:rPr>
            </w:pPr>
            <w:r>
              <w:rPr>
                <w:rFonts w:hint="default"/>
                <w:kern w:val="0"/>
                <w:sz w:val="20"/>
              </w:rPr>
              <w:t>未达到</w:t>
            </w:r>
            <w:r>
              <w:rPr>
                <w:rFonts w:hint="eastAsia"/>
                <w:kern w:val="0"/>
                <w:sz w:val="20"/>
              </w:rPr>
              <w:t>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6" w:type="pct"/>
            <w:vAlign w:val="center"/>
          </w:tcPr>
          <w:p>
            <w:pPr>
              <w:overflowPunct w:val="0"/>
              <w:topLinePunct/>
              <w:spacing w:line="320" w:lineRule="exact"/>
              <w:jc w:val="center"/>
              <w:rPr>
                <w:rFonts w:eastAsia="黑体"/>
                <w:kern w:val="0"/>
                <w:sz w:val="20"/>
              </w:rPr>
            </w:pPr>
            <w:r>
              <w:rPr>
                <w:rFonts w:hint="eastAsia" w:eastAsia="黑体"/>
                <w:kern w:val="0"/>
                <w:sz w:val="20"/>
              </w:rPr>
              <w:t>运输监管</w:t>
            </w:r>
          </w:p>
        </w:tc>
        <w:tc>
          <w:tcPr>
            <w:tcW w:w="3826" w:type="pct"/>
            <w:gridSpan w:val="2"/>
            <w:vAlign w:val="center"/>
          </w:tcPr>
          <w:p>
            <w:pPr>
              <w:overflowPunct w:val="0"/>
              <w:topLinePunct/>
              <w:spacing w:line="320" w:lineRule="exact"/>
              <w:rPr>
                <w:kern w:val="0"/>
                <w:sz w:val="20"/>
              </w:rPr>
            </w:pPr>
            <w:r>
              <w:rPr>
                <w:rFonts w:hint="eastAsia"/>
                <w:kern w:val="0"/>
                <w:sz w:val="20"/>
                <w:lang w:eastAsia="zh-CN"/>
              </w:rPr>
              <w:t>建立门禁系统和电子台账，创建要求参照《重点行业移动源监管与核查技术指南》（</w:t>
            </w:r>
            <w:r>
              <w:rPr>
                <w:rFonts w:hint="eastAsia"/>
                <w:kern w:val="0"/>
                <w:sz w:val="20"/>
                <w:lang w:val="en-US" w:eastAsia="zh-CN"/>
              </w:rPr>
              <w:t>HJ 1321</w:t>
            </w:r>
            <w:r>
              <w:rPr>
                <w:rFonts w:hint="eastAsia"/>
                <w:kern w:val="0"/>
                <w:sz w:val="20"/>
                <w:lang w:eastAsia="zh-CN"/>
              </w:rPr>
              <w:t>）</w:t>
            </w:r>
            <w:r>
              <w:rPr>
                <w:rFonts w:hint="eastAsia"/>
                <w:kern w:val="0"/>
                <w:sz w:val="20"/>
              </w:rPr>
              <w:t>。</w:t>
            </w:r>
          </w:p>
        </w:tc>
        <w:tc>
          <w:tcPr>
            <w:tcW w:w="737" w:type="pct"/>
            <w:vAlign w:val="center"/>
          </w:tcPr>
          <w:p>
            <w:pPr>
              <w:overflowPunct w:val="0"/>
              <w:topLinePunct/>
              <w:spacing w:line="320" w:lineRule="exact"/>
              <w:rPr>
                <w:kern w:val="0"/>
                <w:sz w:val="20"/>
              </w:rPr>
            </w:pPr>
            <w:r>
              <w:rPr>
                <w:rFonts w:hint="default"/>
                <w:kern w:val="0"/>
                <w:sz w:val="20"/>
              </w:rPr>
              <w:t>未达到</w:t>
            </w:r>
            <w:r>
              <w:rPr>
                <w:rFonts w:hint="eastAsia"/>
                <w:kern w:val="0"/>
                <w:sz w:val="20"/>
              </w:rPr>
              <w:t>A、B级要求。</w:t>
            </w:r>
          </w:p>
        </w:tc>
      </w:tr>
    </w:tbl>
    <w:p>
      <w:pPr>
        <w:overflowPunct w:val="0"/>
        <w:topLinePunct/>
        <w:jc w:val="center"/>
        <w:rPr>
          <w:rFonts w:eastAsia="宋体"/>
          <w:kern w:val="0"/>
          <w:sz w:val="22"/>
          <w:szCs w:val="22"/>
        </w:rPr>
      </w:pPr>
    </w:p>
    <w:p>
      <w:pPr>
        <w:overflowPunct w:val="0"/>
        <w:topLinePunct/>
        <w:spacing w:line="360" w:lineRule="auto"/>
        <w:rPr>
          <w:rFonts w:eastAsia="楷体_GB2312"/>
          <w:sz w:val="30"/>
          <w:szCs w:val="30"/>
        </w:rPr>
        <w:sectPr>
          <w:headerReference r:id="rId63" w:type="default"/>
          <w:footerReference r:id="rId65" w:type="default"/>
          <w:headerReference r:id="rId64" w:type="even"/>
          <w:footerReference r:id="rId66" w:type="even"/>
          <w:pgSz w:w="16840" w:h="11910" w:orient="landscape"/>
          <w:pgMar w:top="1588" w:right="2098" w:bottom="1474" w:left="1247" w:header="851" w:footer="992" w:gutter="0"/>
          <w:cols w:space="720" w:num="1"/>
          <w:docGrid w:linePitch="286" w:charSpace="0"/>
        </w:sectPr>
      </w:pPr>
    </w:p>
    <w:p>
      <w:pPr>
        <w:overflowPunct w:val="0"/>
        <w:topLinePunct/>
        <w:spacing w:line="500" w:lineRule="exact"/>
        <w:ind w:firstLine="576" w:firstLineChars="200"/>
        <w:outlineLvl w:val="2"/>
        <w:rPr>
          <w:rFonts w:eastAsia="楷体_GB2312"/>
          <w:kern w:val="0"/>
          <w:sz w:val="30"/>
          <w:szCs w:val="30"/>
        </w:rPr>
      </w:pPr>
      <w:bookmarkStart w:id="107" w:name="_Toc23815"/>
      <w:bookmarkStart w:id="108" w:name="_Toc121413372"/>
      <w:r>
        <w:rPr>
          <w:rFonts w:eastAsia="楷体_GB2312"/>
          <w:kern w:val="0"/>
          <w:sz w:val="30"/>
          <w:szCs w:val="30"/>
        </w:rPr>
        <w:t>（五）减排措施</w:t>
      </w:r>
      <w:bookmarkEnd w:id="107"/>
      <w:bookmarkEnd w:id="108"/>
    </w:p>
    <w:p>
      <w:pPr>
        <w:overflowPunct w:val="0"/>
        <w:topLinePunct/>
        <w:spacing w:line="500" w:lineRule="exact"/>
        <w:ind w:firstLine="576" w:firstLineChars="200"/>
        <w:rPr>
          <w:sz w:val="30"/>
          <w:szCs w:val="30"/>
        </w:rPr>
      </w:pPr>
      <w:r>
        <w:rPr>
          <w:sz w:val="30"/>
          <w:szCs w:val="30"/>
        </w:rPr>
        <w:t>1、A级企业</w:t>
      </w:r>
    </w:p>
    <w:p>
      <w:pPr>
        <w:overflowPunct w:val="0"/>
        <w:topLinePunct/>
        <w:spacing w:line="500" w:lineRule="exact"/>
        <w:ind w:firstLine="576" w:firstLineChars="200"/>
        <w:rPr>
          <w:sz w:val="30"/>
          <w:szCs w:val="30"/>
        </w:rPr>
      </w:pPr>
      <w:r>
        <w:rPr>
          <w:sz w:val="30"/>
          <w:szCs w:val="30"/>
        </w:rPr>
        <w:t>鼓励结合实际，自主采取减排措施。</w:t>
      </w:r>
    </w:p>
    <w:p>
      <w:pPr>
        <w:overflowPunct w:val="0"/>
        <w:topLinePunct/>
        <w:spacing w:line="500" w:lineRule="exact"/>
        <w:ind w:firstLine="576" w:firstLineChars="200"/>
        <w:rPr>
          <w:sz w:val="30"/>
          <w:szCs w:val="30"/>
        </w:rPr>
      </w:pPr>
      <w:r>
        <w:rPr>
          <w:sz w:val="30"/>
          <w:szCs w:val="30"/>
        </w:rPr>
        <w:t>2、B级企业</w:t>
      </w:r>
    </w:p>
    <w:p>
      <w:pPr>
        <w:overflowPunct w:val="0"/>
        <w:topLinePunct/>
        <w:spacing w:line="500" w:lineRule="exact"/>
        <w:ind w:firstLine="576" w:firstLineChars="200"/>
        <w:rPr>
          <w:sz w:val="30"/>
          <w:szCs w:val="30"/>
        </w:rPr>
      </w:pPr>
      <w:r>
        <w:rPr>
          <w:sz w:val="30"/>
          <w:szCs w:val="30"/>
        </w:rPr>
        <w:t>黄色预警期间：停止使用国四及以下重型载货车辆（含燃气）进行运输。</w:t>
      </w:r>
    </w:p>
    <w:p>
      <w:pPr>
        <w:overflowPunct w:val="0"/>
        <w:topLinePunct/>
        <w:spacing w:line="500" w:lineRule="exact"/>
        <w:ind w:firstLine="576" w:firstLineChars="200"/>
        <w:rPr>
          <w:sz w:val="30"/>
          <w:szCs w:val="30"/>
        </w:rPr>
      </w:pPr>
      <w:r>
        <w:rPr>
          <w:sz w:val="30"/>
          <w:szCs w:val="30"/>
        </w:rPr>
        <w:t>橙色预警期间：使用溶剂型原辅材料的喷漆、表面涂覆、印刷、烘干、覆膜等生产单元限产30%，光刻、成盒、显影、剥离等生产单元限产10%，以生产线或主要生产设备数量计，对于单一生产线的企业，以“环评批复产能、排污许可载明产能、前一年正常生产实际产量”三者日均值的最小值为基准核算，减少生产批次或减少生产线；停止使用国四及以下重型载货车辆（含燃气）进行运输。</w:t>
      </w:r>
    </w:p>
    <w:p>
      <w:pPr>
        <w:overflowPunct w:val="0"/>
        <w:topLinePunct/>
        <w:spacing w:line="500" w:lineRule="exact"/>
        <w:ind w:firstLine="576" w:firstLineChars="200"/>
        <w:rPr>
          <w:sz w:val="30"/>
          <w:szCs w:val="30"/>
        </w:rPr>
      </w:pPr>
      <w:r>
        <w:rPr>
          <w:sz w:val="30"/>
          <w:szCs w:val="30"/>
        </w:rPr>
        <w:t>红色预警期间：喷漆、表面涂覆、印刷、烘干、覆膜等生产单元限产50%，光刻、成盒、显影、剥离等生产单元限产30%，以生产线或主要生产设备数量计，对于单一生产线的企业，以“环评批复产能、排污许可载明产能、前一年正常生产实际产量”三者日均值的最小值为基准核算，减少生产批次或减少生产线；停止使用国四及以下重型载货车辆（含燃气）进行运输。</w:t>
      </w:r>
    </w:p>
    <w:p>
      <w:pPr>
        <w:overflowPunct w:val="0"/>
        <w:topLinePunct/>
        <w:spacing w:line="500" w:lineRule="exact"/>
        <w:ind w:firstLine="576" w:firstLineChars="200"/>
        <w:rPr>
          <w:sz w:val="30"/>
          <w:szCs w:val="30"/>
        </w:rPr>
      </w:pPr>
      <w:r>
        <w:rPr>
          <w:sz w:val="30"/>
          <w:szCs w:val="30"/>
        </w:rPr>
        <w:t>3、C级企业</w:t>
      </w:r>
    </w:p>
    <w:p>
      <w:pPr>
        <w:overflowPunct w:val="0"/>
        <w:topLinePunct/>
        <w:spacing w:line="500" w:lineRule="exact"/>
        <w:ind w:firstLine="576" w:firstLineChars="200"/>
        <w:rPr>
          <w:sz w:val="30"/>
          <w:szCs w:val="30"/>
        </w:rPr>
      </w:pPr>
      <w:r>
        <w:rPr>
          <w:sz w:val="30"/>
          <w:szCs w:val="30"/>
        </w:rPr>
        <w:t>黄色预警期间：涉气工序限产30%，以生产线或主要生产设备数量计，对于单一生产线的企业，以“环评批复产能、排污许可载明产能、前一年正常生产实际产量”三者日均值的最小值为基准核算；停止使用国四及以下重型载货车辆（含燃气）进行运输。</w:t>
      </w:r>
    </w:p>
    <w:p>
      <w:pPr>
        <w:overflowPunct w:val="0"/>
        <w:topLinePunct/>
        <w:spacing w:line="500" w:lineRule="exact"/>
        <w:ind w:firstLine="576" w:firstLineChars="200"/>
        <w:rPr>
          <w:sz w:val="30"/>
          <w:szCs w:val="30"/>
        </w:rPr>
      </w:pPr>
      <w:r>
        <w:rPr>
          <w:sz w:val="30"/>
          <w:szCs w:val="30"/>
        </w:rPr>
        <w:t>橙色预警期间：涉气工序限产50%，以生产线或主要生产设备数量计，对于单一生产线的企业，以“环评批复产能、排污许可载明产能、前一年正常生产实际产量”三者日均值的最小值为基准核算；停止使用国四及以下重型载货车辆（含燃气）进行运输。</w:t>
      </w:r>
    </w:p>
    <w:p>
      <w:pPr>
        <w:overflowPunct w:val="0"/>
        <w:topLinePunct/>
        <w:spacing w:line="500" w:lineRule="exact"/>
        <w:ind w:firstLine="576" w:firstLineChars="200"/>
        <w:rPr>
          <w:sz w:val="30"/>
          <w:szCs w:val="30"/>
        </w:rPr>
      </w:pPr>
      <w:r>
        <w:rPr>
          <w:sz w:val="30"/>
          <w:szCs w:val="30"/>
        </w:rPr>
        <w:t>红色预警期间：停产；停止使用国四及以下重型载货车辆（含燃气）进行运输。</w:t>
      </w:r>
    </w:p>
    <w:p>
      <w:pPr>
        <w:overflowPunct w:val="0"/>
        <w:topLinePunct/>
        <w:spacing w:line="500" w:lineRule="exact"/>
        <w:ind w:firstLine="576" w:firstLineChars="200"/>
        <w:rPr>
          <w:sz w:val="30"/>
          <w:szCs w:val="30"/>
        </w:rPr>
      </w:pPr>
      <w:r>
        <w:rPr>
          <w:sz w:val="30"/>
          <w:szCs w:val="30"/>
        </w:rPr>
        <w:t>4、备注</w:t>
      </w:r>
    </w:p>
    <w:p>
      <w:pPr>
        <w:overflowPunct w:val="0"/>
        <w:topLinePunct/>
        <w:spacing w:line="500" w:lineRule="exact"/>
        <w:ind w:firstLine="576" w:firstLineChars="200"/>
        <w:rPr>
          <w:rFonts w:eastAsia="宋体"/>
          <w:sz w:val="28"/>
          <w:szCs w:val="28"/>
        </w:rPr>
      </w:pPr>
      <w:r>
        <w:rPr>
          <w:sz w:val="30"/>
          <w:szCs w:val="30"/>
        </w:rPr>
        <w:t>对于生产过程短时间内难以停产的工序，建议在重污染频发的秋冬季期间，提前调整生产计划，确保预警期间企业能够落实相应</w:t>
      </w:r>
      <w:r>
        <w:rPr>
          <w:rFonts w:hint="eastAsia"/>
          <w:sz w:val="30"/>
          <w:szCs w:val="30"/>
          <w:lang w:eastAsia="zh-CN"/>
        </w:rPr>
        <w:t>级别</w:t>
      </w:r>
      <w:r>
        <w:rPr>
          <w:sz w:val="30"/>
          <w:szCs w:val="30"/>
        </w:rPr>
        <w:t>应急减排措施。</w:t>
      </w:r>
    </w:p>
    <w:p>
      <w:pPr>
        <w:overflowPunct w:val="0"/>
        <w:topLinePunct/>
        <w:spacing w:line="500" w:lineRule="exact"/>
        <w:ind w:firstLine="576" w:firstLineChars="200"/>
        <w:outlineLvl w:val="2"/>
        <w:rPr>
          <w:rFonts w:eastAsia="楷体_GB2312"/>
          <w:kern w:val="0"/>
          <w:sz w:val="30"/>
          <w:szCs w:val="30"/>
        </w:rPr>
      </w:pPr>
      <w:bookmarkStart w:id="109" w:name="_Toc19930"/>
      <w:bookmarkStart w:id="110" w:name="_Toc121413373"/>
      <w:r>
        <w:rPr>
          <w:rFonts w:eastAsia="楷体_GB2312"/>
          <w:kern w:val="0"/>
          <w:sz w:val="30"/>
          <w:szCs w:val="30"/>
        </w:rPr>
        <w:t>（六）核查方法</w:t>
      </w:r>
      <w:bookmarkEnd w:id="109"/>
      <w:bookmarkEnd w:id="110"/>
    </w:p>
    <w:p>
      <w:pPr>
        <w:overflowPunct w:val="0"/>
        <w:topLinePunct/>
        <w:spacing w:line="500" w:lineRule="exact"/>
        <w:ind w:firstLine="576" w:firstLineChars="200"/>
        <w:rPr>
          <w:sz w:val="30"/>
          <w:szCs w:val="30"/>
        </w:rPr>
      </w:pPr>
      <w:r>
        <w:rPr>
          <w:sz w:val="30"/>
          <w:szCs w:val="30"/>
        </w:rPr>
        <w:t>1、电量分析：调取企业用电量情况，</w:t>
      </w:r>
      <w:r>
        <w:rPr>
          <w:rFonts w:hint="eastAsia"/>
          <w:sz w:val="30"/>
          <w:szCs w:val="30"/>
          <w:lang w:eastAsia="zh-CN"/>
        </w:rPr>
        <w:t>分析历史预警前后</w:t>
      </w:r>
      <w:r>
        <w:rPr>
          <w:sz w:val="30"/>
          <w:szCs w:val="30"/>
        </w:rPr>
        <w:t>企业用电量变化，比对采取减排措施期间的用电量</w:t>
      </w:r>
      <w:r>
        <w:rPr>
          <w:spacing w:val="0"/>
          <w:sz w:val="30"/>
          <w:szCs w:val="30"/>
        </w:rPr>
        <w:t>是否明显下降</w:t>
      </w:r>
      <w:r>
        <w:rPr>
          <w:rFonts w:hint="eastAsia"/>
          <w:sz w:val="30"/>
          <w:szCs w:val="30"/>
        </w:rPr>
        <w:t>。</w:t>
      </w:r>
    </w:p>
    <w:p>
      <w:pPr>
        <w:overflowPunct w:val="0"/>
        <w:topLinePunct/>
        <w:spacing w:line="500" w:lineRule="exact"/>
        <w:ind w:firstLine="576" w:firstLineChars="200"/>
        <w:rPr>
          <w:sz w:val="30"/>
          <w:szCs w:val="30"/>
        </w:rPr>
      </w:pPr>
      <w:r>
        <w:rPr>
          <w:sz w:val="30"/>
          <w:szCs w:val="30"/>
        </w:rPr>
        <w:t>2、现场核查：重点核查主要涉气生产设备停产数量，通过对比预警与非预警期间涉气生产设备的停产数量，核查企业限产比例。核查污染治理设施的运行稳定性</w:t>
      </w:r>
      <w:r>
        <w:rPr>
          <w:rFonts w:hint="eastAsia"/>
          <w:sz w:val="30"/>
          <w:szCs w:val="30"/>
        </w:rPr>
        <w:t>。</w:t>
      </w:r>
    </w:p>
    <w:p>
      <w:pPr>
        <w:overflowPunct w:val="0"/>
        <w:topLinePunct/>
        <w:spacing w:line="500" w:lineRule="exact"/>
        <w:ind w:firstLine="576" w:firstLineChars="200"/>
        <w:rPr>
          <w:sz w:val="30"/>
          <w:szCs w:val="30"/>
        </w:rPr>
      </w:pPr>
      <w:r>
        <w:rPr>
          <w:sz w:val="30"/>
          <w:szCs w:val="30"/>
        </w:rPr>
        <w:t>3、台账核查：重点核查生产设施开停机记录表；核查企业生产台账记录。</w:t>
      </w:r>
    </w:p>
    <w:p>
      <w:pPr>
        <w:overflowPunct w:val="0"/>
        <w:topLinePunct/>
        <w:spacing w:line="500" w:lineRule="exact"/>
        <w:ind w:firstLine="576" w:firstLineChars="200"/>
        <w:rPr>
          <w:sz w:val="30"/>
          <w:szCs w:val="30"/>
        </w:rPr>
      </w:pPr>
      <w:r>
        <w:rPr>
          <w:sz w:val="30"/>
          <w:szCs w:val="30"/>
        </w:rPr>
        <w:t>4、运输核查：</w:t>
      </w:r>
      <w:r>
        <w:rPr>
          <w:spacing w:val="0"/>
          <w:sz w:val="30"/>
          <w:szCs w:val="30"/>
        </w:rPr>
        <w:t>调取厂区</w:t>
      </w:r>
      <w:r>
        <w:rPr>
          <w:sz w:val="30"/>
          <w:szCs w:val="30"/>
        </w:rPr>
        <w:t>货运进出口视频监控</w:t>
      </w:r>
      <w:r>
        <w:rPr>
          <w:spacing w:val="0"/>
          <w:sz w:val="30"/>
          <w:szCs w:val="30"/>
        </w:rPr>
        <w:t>记录，比对预警前后厂区</w:t>
      </w:r>
      <w:r>
        <w:rPr>
          <w:rFonts w:hint="eastAsia"/>
          <w:spacing w:val="0"/>
          <w:sz w:val="30"/>
          <w:szCs w:val="30"/>
          <w:lang w:eastAsia="zh-CN"/>
        </w:rPr>
        <w:t>汽车运输情况，检查</w:t>
      </w:r>
      <w:r>
        <w:rPr>
          <w:spacing w:val="0"/>
          <w:sz w:val="30"/>
          <w:szCs w:val="30"/>
        </w:rPr>
        <w:t>是否符合要求；现场抽查</w:t>
      </w:r>
      <w:r>
        <w:rPr>
          <w:rFonts w:hint="eastAsia"/>
          <w:spacing w:val="0"/>
          <w:sz w:val="30"/>
          <w:szCs w:val="30"/>
          <w:lang w:eastAsia="zh-CN"/>
        </w:rPr>
        <w:t>运输</w:t>
      </w:r>
      <w:r>
        <w:rPr>
          <w:spacing w:val="0"/>
          <w:sz w:val="30"/>
          <w:szCs w:val="30"/>
        </w:rPr>
        <w:t>车辆</w:t>
      </w:r>
      <w:r>
        <w:rPr>
          <w:rFonts w:hint="eastAsia"/>
          <w:spacing w:val="0"/>
          <w:sz w:val="30"/>
          <w:szCs w:val="30"/>
          <w:lang w:eastAsia="zh-CN"/>
        </w:rPr>
        <w:t>，</w:t>
      </w:r>
      <w:r>
        <w:rPr>
          <w:spacing w:val="0"/>
          <w:sz w:val="30"/>
          <w:szCs w:val="30"/>
        </w:rPr>
        <w:t>核查排放</w:t>
      </w:r>
      <w:r>
        <w:rPr>
          <w:rFonts w:hint="eastAsia"/>
          <w:spacing w:val="0"/>
          <w:sz w:val="30"/>
          <w:szCs w:val="30"/>
          <w:lang w:eastAsia="zh-CN"/>
        </w:rPr>
        <w:t>标准</w:t>
      </w:r>
      <w:r>
        <w:rPr>
          <w:spacing w:val="0"/>
          <w:sz w:val="30"/>
          <w:szCs w:val="30"/>
        </w:rPr>
        <w:t>是否符合要求。</w:t>
      </w:r>
    </w:p>
    <w:p>
      <w:pPr>
        <w:overflowPunct w:val="0"/>
        <w:topLinePunct/>
        <w:spacing w:line="500" w:lineRule="exact"/>
        <w:ind w:firstLine="576" w:firstLineChars="200"/>
        <w:outlineLvl w:val="1"/>
        <w:rPr>
          <w:rFonts w:eastAsia="黑体"/>
          <w:kern w:val="0"/>
          <w:sz w:val="30"/>
          <w:szCs w:val="30"/>
        </w:rPr>
      </w:pPr>
      <w:bookmarkStart w:id="111" w:name="_Toc121413374"/>
      <w:bookmarkStart w:id="112" w:name="_Toc589"/>
      <w:r>
        <w:rPr>
          <w:rFonts w:eastAsia="黑体"/>
          <w:kern w:val="0"/>
          <w:sz w:val="30"/>
          <w:szCs w:val="30"/>
        </w:rPr>
        <w:t>九、汽修行业</w:t>
      </w:r>
      <w:bookmarkEnd w:id="111"/>
      <w:bookmarkEnd w:id="112"/>
    </w:p>
    <w:p>
      <w:pPr>
        <w:overflowPunct w:val="0"/>
        <w:topLinePunct/>
        <w:spacing w:line="500" w:lineRule="exact"/>
        <w:ind w:firstLine="576" w:firstLineChars="200"/>
        <w:outlineLvl w:val="2"/>
        <w:rPr>
          <w:rFonts w:eastAsia="楷体_GB2312"/>
          <w:kern w:val="0"/>
          <w:sz w:val="30"/>
          <w:szCs w:val="30"/>
        </w:rPr>
      </w:pPr>
      <w:bookmarkStart w:id="113" w:name="_Toc19425"/>
      <w:bookmarkStart w:id="114" w:name="_Toc121413375"/>
      <w:r>
        <w:rPr>
          <w:rFonts w:eastAsia="楷体_GB2312"/>
          <w:kern w:val="0"/>
          <w:sz w:val="30"/>
          <w:szCs w:val="30"/>
        </w:rPr>
        <w:t>（一）适用范围</w:t>
      </w:r>
      <w:bookmarkEnd w:id="113"/>
      <w:bookmarkEnd w:id="114"/>
    </w:p>
    <w:p>
      <w:pPr>
        <w:overflowPunct w:val="0"/>
        <w:topLinePunct/>
        <w:spacing w:line="500" w:lineRule="exact"/>
        <w:ind w:firstLine="576" w:firstLineChars="200"/>
        <w:rPr>
          <w:sz w:val="30"/>
          <w:szCs w:val="30"/>
        </w:rPr>
      </w:pPr>
      <w:r>
        <w:rPr>
          <w:sz w:val="30"/>
          <w:szCs w:val="30"/>
        </w:rPr>
        <w:t>适用于《国民经济行业分类》（GB/T4754-2017）中的C8111汽车修理与维护场所，仅含汽车喷烤漆等涉</w:t>
      </w:r>
      <w:r>
        <w:rPr>
          <w:rFonts w:hint="eastAsia"/>
          <w:sz w:val="30"/>
          <w:szCs w:val="30"/>
        </w:rPr>
        <w:t>挥发性有机物</w:t>
      </w:r>
      <w:r>
        <w:rPr>
          <w:sz w:val="30"/>
          <w:szCs w:val="30"/>
        </w:rPr>
        <w:t>（VOCs）排放的汽车修理、维护和保养的企业和个体经营户</w:t>
      </w:r>
      <w:r>
        <w:rPr>
          <w:rFonts w:hint="eastAsia"/>
          <w:sz w:val="30"/>
          <w:szCs w:val="30"/>
          <w:lang w:eastAsia="zh-CN"/>
        </w:rPr>
        <w:t>参照执行</w:t>
      </w:r>
      <w:r>
        <w:rPr>
          <w:sz w:val="30"/>
          <w:szCs w:val="30"/>
        </w:rPr>
        <w:t>。</w:t>
      </w:r>
    </w:p>
    <w:p>
      <w:pPr>
        <w:overflowPunct w:val="0"/>
        <w:topLinePunct/>
        <w:spacing w:line="500" w:lineRule="exact"/>
        <w:ind w:firstLine="576" w:firstLineChars="200"/>
        <w:outlineLvl w:val="2"/>
        <w:rPr>
          <w:rFonts w:eastAsia="楷体_GB2312"/>
          <w:kern w:val="0"/>
          <w:sz w:val="30"/>
          <w:szCs w:val="30"/>
        </w:rPr>
      </w:pPr>
      <w:bookmarkStart w:id="115" w:name="_Toc121413376"/>
      <w:bookmarkStart w:id="116" w:name="_Toc1866"/>
      <w:r>
        <w:rPr>
          <w:rFonts w:eastAsia="楷体_GB2312"/>
          <w:kern w:val="0"/>
          <w:sz w:val="30"/>
          <w:szCs w:val="30"/>
        </w:rPr>
        <w:t>（二）生产工艺</w:t>
      </w:r>
      <w:bookmarkEnd w:id="115"/>
      <w:bookmarkEnd w:id="116"/>
    </w:p>
    <w:p>
      <w:pPr>
        <w:overflowPunct w:val="0"/>
        <w:topLinePunct/>
        <w:spacing w:line="500" w:lineRule="exact"/>
        <w:ind w:firstLine="576" w:firstLineChars="200"/>
        <w:rPr>
          <w:sz w:val="30"/>
          <w:szCs w:val="30"/>
        </w:rPr>
      </w:pPr>
      <w:r>
        <w:rPr>
          <w:sz w:val="30"/>
          <w:szCs w:val="30"/>
        </w:rPr>
        <w:t>1、主要污染工序：调漆、喷涂、烘干和打磨抛光等。</w:t>
      </w:r>
    </w:p>
    <w:p>
      <w:pPr>
        <w:overflowPunct w:val="0"/>
        <w:topLinePunct/>
        <w:spacing w:line="500" w:lineRule="exact"/>
        <w:ind w:firstLine="576" w:firstLineChars="200"/>
        <w:rPr>
          <w:rFonts w:eastAsia="宋体"/>
          <w:sz w:val="28"/>
          <w:szCs w:val="28"/>
        </w:rPr>
      </w:pPr>
      <w:r>
        <w:rPr>
          <w:sz w:val="30"/>
          <w:szCs w:val="30"/>
        </w:rPr>
        <w:t>2、主要能源：电、天然气</w:t>
      </w:r>
      <w:r>
        <w:rPr>
          <w:rFonts w:eastAsia="宋体"/>
          <w:sz w:val="28"/>
          <w:szCs w:val="28"/>
        </w:rPr>
        <w:t>。</w:t>
      </w:r>
    </w:p>
    <w:p>
      <w:pPr>
        <w:overflowPunct w:val="0"/>
        <w:topLinePunct/>
        <w:spacing w:line="500" w:lineRule="exact"/>
        <w:ind w:firstLine="576" w:firstLineChars="200"/>
        <w:outlineLvl w:val="2"/>
        <w:rPr>
          <w:rFonts w:eastAsia="楷体_GB2312"/>
          <w:kern w:val="0"/>
          <w:sz w:val="30"/>
          <w:szCs w:val="30"/>
        </w:rPr>
      </w:pPr>
      <w:bookmarkStart w:id="117" w:name="_Toc121413377"/>
      <w:bookmarkStart w:id="118" w:name="_Toc26065"/>
      <w:r>
        <w:rPr>
          <w:rFonts w:eastAsia="楷体_GB2312"/>
          <w:kern w:val="0"/>
          <w:sz w:val="30"/>
          <w:szCs w:val="30"/>
        </w:rPr>
        <w:t>（三）主要污染物产排环节</w:t>
      </w:r>
      <w:bookmarkEnd w:id="117"/>
      <w:bookmarkEnd w:id="118"/>
    </w:p>
    <w:p>
      <w:pPr>
        <w:overflowPunct w:val="0"/>
        <w:topLinePunct/>
        <w:spacing w:line="500" w:lineRule="exact"/>
        <w:ind w:firstLine="576" w:firstLineChars="200"/>
        <w:rPr>
          <w:sz w:val="30"/>
          <w:szCs w:val="30"/>
        </w:rPr>
      </w:pPr>
      <w:r>
        <w:rPr>
          <w:sz w:val="30"/>
          <w:szCs w:val="30"/>
        </w:rPr>
        <w:t>1、</w:t>
      </w:r>
      <w:r>
        <w:rPr>
          <w:rFonts w:hint="eastAsia"/>
          <w:sz w:val="30"/>
          <w:szCs w:val="30"/>
        </w:rPr>
        <w:t>挥发性有机物（</w:t>
      </w:r>
      <w:r>
        <w:rPr>
          <w:sz w:val="30"/>
          <w:szCs w:val="30"/>
        </w:rPr>
        <w:t>VOCs</w:t>
      </w:r>
      <w:r>
        <w:rPr>
          <w:rFonts w:hint="eastAsia"/>
          <w:sz w:val="30"/>
          <w:szCs w:val="30"/>
        </w:rPr>
        <w:t>）</w:t>
      </w:r>
      <w:r>
        <w:rPr>
          <w:sz w:val="30"/>
          <w:szCs w:val="30"/>
        </w:rPr>
        <w:t>：主要产生于调漆、喷涂、烘干、修补等涂装工序，主要来源于涂料、稀释剂、清洗剂、固化剂、胶</w:t>
      </w:r>
      <w:r>
        <w:rPr>
          <w:rFonts w:hint="eastAsia"/>
          <w:sz w:val="30"/>
          <w:szCs w:val="30"/>
          <w:lang w:eastAsia="zh-CN"/>
        </w:rPr>
        <w:t>粘</w:t>
      </w:r>
      <w:r>
        <w:rPr>
          <w:sz w:val="30"/>
          <w:szCs w:val="30"/>
        </w:rPr>
        <w:t>剂等含VOCs原辅材料使用</w:t>
      </w:r>
      <w:r>
        <w:rPr>
          <w:rFonts w:hint="eastAsia"/>
          <w:sz w:val="30"/>
          <w:szCs w:val="30"/>
          <w:lang w:eastAsia="zh-CN"/>
        </w:rPr>
        <w:t>过程中的</w:t>
      </w:r>
      <w:r>
        <w:rPr>
          <w:sz w:val="30"/>
          <w:szCs w:val="30"/>
        </w:rPr>
        <w:t>挥发逸散</w:t>
      </w:r>
      <w:r>
        <w:rPr>
          <w:rFonts w:hint="eastAsia"/>
          <w:sz w:val="30"/>
          <w:szCs w:val="30"/>
        </w:rPr>
        <w:t>。</w:t>
      </w:r>
    </w:p>
    <w:p>
      <w:pPr>
        <w:overflowPunct w:val="0"/>
        <w:topLinePunct/>
        <w:spacing w:line="500" w:lineRule="exact"/>
        <w:ind w:firstLine="576" w:firstLineChars="200"/>
        <w:rPr>
          <w:sz w:val="30"/>
          <w:szCs w:val="30"/>
        </w:rPr>
        <w:sectPr>
          <w:headerReference r:id="rId67" w:type="default"/>
          <w:footerReference r:id="rId69" w:type="default"/>
          <w:headerReference r:id="rId68" w:type="even"/>
          <w:footerReference r:id="rId70" w:type="even"/>
          <w:pgSz w:w="11910" w:h="16840"/>
          <w:pgMar w:top="2098" w:right="1474" w:bottom="1247" w:left="1588" w:header="851" w:footer="992" w:gutter="0"/>
          <w:cols w:space="720" w:num="1"/>
          <w:docGrid w:linePitch="286" w:charSpace="0"/>
        </w:sectPr>
      </w:pPr>
      <w:r>
        <w:rPr>
          <w:sz w:val="30"/>
          <w:szCs w:val="30"/>
        </w:rPr>
        <w:t>2、</w:t>
      </w:r>
      <w:r>
        <w:rPr>
          <w:rFonts w:hint="eastAsia"/>
          <w:sz w:val="30"/>
          <w:szCs w:val="30"/>
        </w:rPr>
        <w:t>颗粒物（</w:t>
      </w:r>
      <w:r>
        <w:rPr>
          <w:sz w:val="30"/>
          <w:szCs w:val="30"/>
        </w:rPr>
        <w:t>PM</w:t>
      </w:r>
      <w:r>
        <w:rPr>
          <w:rFonts w:hint="eastAsia"/>
          <w:sz w:val="30"/>
          <w:szCs w:val="30"/>
        </w:rPr>
        <w:t>）</w:t>
      </w:r>
      <w:r>
        <w:rPr>
          <w:sz w:val="30"/>
          <w:szCs w:val="30"/>
        </w:rPr>
        <w:t>：主要产生于腻子粉打磨工序。</w:t>
      </w:r>
    </w:p>
    <w:p>
      <w:pPr>
        <w:overflowPunct w:val="0"/>
        <w:topLinePunct/>
        <w:spacing w:line="360" w:lineRule="auto"/>
        <w:jc w:val="left"/>
        <w:outlineLvl w:val="2"/>
        <w:rPr>
          <w:rFonts w:eastAsia="楷体_GB2312"/>
          <w:kern w:val="0"/>
          <w:sz w:val="30"/>
          <w:szCs w:val="30"/>
        </w:rPr>
      </w:pPr>
      <w:bookmarkStart w:id="119" w:name="_Toc121413378"/>
      <w:bookmarkStart w:id="120" w:name="_Toc19558"/>
      <w:r>
        <w:rPr>
          <w:rFonts w:eastAsia="楷体_GB2312"/>
          <w:kern w:val="0"/>
          <w:sz w:val="30"/>
          <w:szCs w:val="30"/>
        </w:rPr>
        <w:t>（四）绩效引领性指标</w:t>
      </w:r>
      <w:bookmarkEnd w:id="119"/>
      <w:bookmarkEnd w:id="120"/>
    </w:p>
    <w:p>
      <w:pPr>
        <w:overflowPunct w:val="0"/>
        <w:topLinePunct/>
        <w:jc w:val="center"/>
        <w:rPr>
          <w:rFonts w:eastAsia="黑体"/>
          <w:kern w:val="0"/>
          <w:sz w:val="24"/>
          <w:szCs w:val="24"/>
        </w:rPr>
      </w:pPr>
      <w:r>
        <w:rPr>
          <w:rFonts w:eastAsia="黑体"/>
          <w:kern w:val="0"/>
          <w:sz w:val="24"/>
          <w:szCs w:val="24"/>
        </w:rPr>
        <w:t>表9-1  汽修行业企业绩效引领性指标</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648"/>
        <w:gridCol w:w="10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blHeader/>
        </w:trPr>
        <w:tc>
          <w:tcPr>
            <w:tcW w:w="977"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hint="eastAsia" w:ascii="黑体" w:hAnsi="黑体" w:eastAsia="黑体" w:cs="黑体"/>
                <w:kern w:val="0"/>
                <w:sz w:val="21"/>
                <w:szCs w:val="21"/>
              </w:rPr>
            </w:pPr>
            <w:r>
              <w:rPr>
                <w:rFonts w:hint="eastAsia" w:ascii="黑体" w:hAnsi="黑体" w:eastAsia="黑体" w:cs="黑体"/>
                <w:kern w:val="0"/>
                <w:sz w:val="21"/>
                <w:szCs w:val="21"/>
              </w:rPr>
              <w:t>引领性指标</w:t>
            </w:r>
          </w:p>
        </w:tc>
        <w:tc>
          <w:tcPr>
            <w:tcW w:w="402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hint="eastAsia" w:ascii="黑体" w:hAnsi="黑体" w:eastAsia="黑体" w:cs="黑体"/>
                <w:kern w:val="0"/>
                <w:sz w:val="21"/>
                <w:szCs w:val="21"/>
              </w:rPr>
            </w:pPr>
            <w:r>
              <w:rPr>
                <w:rFonts w:hint="eastAsia" w:ascii="黑体" w:hAnsi="黑体" w:eastAsia="黑体" w:cs="黑体"/>
                <w:kern w:val="0"/>
                <w:sz w:val="21"/>
                <w:szCs w:val="21"/>
              </w:rPr>
              <w:t>汽修行业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977"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原辅材料</w:t>
            </w:r>
          </w:p>
        </w:tc>
        <w:tc>
          <w:tcPr>
            <w:tcW w:w="402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rFonts w:hint="eastAsia"/>
                <w:kern w:val="0"/>
                <w:sz w:val="20"/>
              </w:rPr>
            </w:pPr>
            <w:r>
              <w:rPr>
                <w:rFonts w:hint="eastAsia"/>
                <w:kern w:val="0"/>
                <w:sz w:val="20"/>
                <w:lang w:val="en-US" w:eastAsia="zh-CN"/>
              </w:rPr>
              <w:t>1、涂料：</w:t>
            </w:r>
            <w:r>
              <w:rPr>
                <w:rFonts w:hint="eastAsia"/>
                <w:kern w:val="0"/>
                <w:sz w:val="20"/>
              </w:rPr>
              <w:t>符合《低挥发性有机化合物含量涂料产品技术要求》（GB/T38597-2020）规定要求。</w:t>
            </w:r>
          </w:p>
          <w:p>
            <w:pPr>
              <w:overflowPunct w:val="0"/>
              <w:topLinePunct/>
              <w:spacing w:line="320" w:lineRule="exact"/>
              <w:rPr>
                <w:rFonts w:hint="eastAsia"/>
                <w:kern w:val="0"/>
                <w:sz w:val="20"/>
              </w:rPr>
            </w:pPr>
            <w:r>
              <w:rPr>
                <w:rFonts w:hint="eastAsia"/>
                <w:kern w:val="0"/>
                <w:sz w:val="20"/>
                <w:lang w:val="en-US" w:eastAsia="zh-CN"/>
              </w:rPr>
              <w:t>2、胶粘剂：</w:t>
            </w:r>
            <w:r>
              <w:rPr>
                <w:rFonts w:hint="eastAsia"/>
                <w:kern w:val="0"/>
                <w:sz w:val="20"/>
              </w:rPr>
              <w:t>符合《胶粘剂挥发性有机化合物限量》（GB</w:t>
            </w:r>
            <w:r>
              <w:rPr>
                <w:rFonts w:hint="eastAsia"/>
                <w:kern w:val="0"/>
                <w:sz w:val="20"/>
                <w:lang w:val="en-US" w:eastAsia="zh-CN"/>
              </w:rPr>
              <w:t xml:space="preserve"> </w:t>
            </w:r>
            <w:r>
              <w:rPr>
                <w:rFonts w:hint="eastAsia"/>
                <w:kern w:val="0"/>
                <w:sz w:val="20"/>
              </w:rPr>
              <w:t>33372-2020）</w:t>
            </w:r>
            <w:r>
              <w:rPr>
                <w:rFonts w:hint="eastAsia"/>
                <w:kern w:val="0"/>
                <w:sz w:val="20"/>
                <w:lang w:eastAsia="zh-CN"/>
              </w:rPr>
              <w:t>规定要求</w:t>
            </w:r>
            <w:r>
              <w:rPr>
                <w:rFonts w:hint="eastAsia"/>
                <w:kern w:val="0"/>
                <w:sz w:val="20"/>
              </w:rPr>
              <w:t>。</w:t>
            </w:r>
          </w:p>
          <w:p>
            <w:pPr>
              <w:overflowPunct w:val="0"/>
              <w:topLinePunct/>
              <w:spacing w:line="320" w:lineRule="exact"/>
              <w:rPr>
                <w:kern w:val="0"/>
                <w:sz w:val="20"/>
              </w:rPr>
            </w:pPr>
            <w:r>
              <w:rPr>
                <w:rFonts w:hint="eastAsia"/>
                <w:kern w:val="0"/>
                <w:sz w:val="20"/>
              </w:rPr>
              <w:t>3、</w:t>
            </w:r>
            <w:r>
              <w:rPr>
                <w:rFonts w:hint="eastAsia"/>
                <w:kern w:val="0"/>
                <w:sz w:val="20"/>
                <w:lang w:eastAsia="zh-CN"/>
              </w:rPr>
              <w:t>清洗剂：</w:t>
            </w:r>
            <w:r>
              <w:rPr>
                <w:rFonts w:hint="eastAsia"/>
                <w:kern w:val="0"/>
                <w:sz w:val="20"/>
              </w:rPr>
              <w:t>符合《清洗剂挥发性有机化合物含量限值》（GB</w:t>
            </w:r>
            <w:r>
              <w:rPr>
                <w:rFonts w:hint="eastAsia"/>
                <w:kern w:val="0"/>
                <w:sz w:val="20"/>
                <w:lang w:val="en-US" w:eastAsia="zh-CN"/>
              </w:rPr>
              <w:t xml:space="preserve"> </w:t>
            </w:r>
            <w:r>
              <w:rPr>
                <w:rFonts w:hint="eastAsia"/>
                <w:kern w:val="0"/>
                <w:sz w:val="20"/>
              </w:rPr>
              <w:t>38508-2020）</w:t>
            </w:r>
            <w:r>
              <w:rPr>
                <w:rFonts w:hint="eastAsia"/>
                <w:kern w:val="0"/>
                <w:sz w:val="20"/>
                <w:lang w:eastAsia="zh-CN"/>
              </w:rPr>
              <w:t>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977"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无组织排放</w:t>
            </w:r>
          </w:p>
        </w:tc>
        <w:tc>
          <w:tcPr>
            <w:tcW w:w="4023" w:type="pct"/>
            <w:tcBorders>
              <w:top w:val="single" w:color="auto" w:sz="4" w:space="0"/>
              <w:left w:val="single" w:color="auto" w:sz="4" w:space="0"/>
              <w:bottom w:val="single" w:color="auto" w:sz="4" w:space="0"/>
              <w:right w:val="single" w:color="auto" w:sz="4" w:space="0"/>
            </w:tcBorders>
            <w:vAlign w:val="center"/>
          </w:tcPr>
          <w:p>
            <w:pPr>
              <w:tabs>
                <w:tab w:val="left" w:pos="268"/>
              </w:tabs>
              <w:overflowPunct w:val="0"/>
              <w:topLinePunct/>
              <w:spacing w:line="320" w:lineRule="exact"/>
              <w:rPr>
                <w:kern w:val="0"/>
                <w:sz w:val="20"/>
              </w:rPr>
            </w:pPr>
            <w:r>
              <w:rPr>
                <w:rFonts w:hint="eastAsia"/>
                <w:kern w:val="0"/>
                <w:sz w:val="20"/>
              </w:rPr>
              <w:t>1、涂料、稀释剂、清洗剂等涉VOCs 物料应储存于密闭的容器、包装袋或储罐中。盛装VOCs物料的容器或包装袋应存放于密闭空间，在物料非取用状态时应加盖、封口，保持密闭。VOCs物料的转移和输送过程应保持密闭。</w:t>
            </w:r>
          </w:p>
          <w:p>
            <w:pPr>
              <w:tabs>
                <w:tab w:val="left" w:pos="268"/>
              </w:tabs>
              <w:overflowPunct w:val="0"/>
              <w:topLinePunct/>
              <w:spacing w:line="320" w:lineRule="exact"/>
              <w:rPr>
                <w:kern w:val="0"/>
                <w:sz w:val="20"/>
              </w:rPr>
            </w:pPr>
            <w:r>
              <w:rPr>
                <w:rFonts w:hint="eastAsia"/>
                <w:kern w:val="0"/>
                <w:sz w:val="20"/>
              </w:rPr>
              <w:t>2、调漆工序在专门的调漆室内操作。</w:t>
            </w:r>
          </w:p>
          <w:p>
            <w:pPr>
              <w:tabs>
                <w:tab w:val="left" w:pos="268"/>
              </w:tabs>
              <w:overflowPunct w:val="0"/>
              <w:topLinePunct/>
              <w:spacing w:line="320" w:lineRule="exact"/>
              <w:rPr>
                <w:kern w:val="0"/>
                <w:sz w:val="20"/>
              </w:rPr>
            </w:pPr>
            <w:r>
              <w:rPr>
                <w:rFonts w:hint="eastAsia"/>
                <w:kern w:val="0"/>
                <w:sz w:val="20"/>
              </w:rPr>
              <w:t>3、喷烤漆和烘干工序在专门的</w:t>
            </w:r>
            <w:r>
              <w:rPr>
                <w:rFonts w:hint="eastAsia"/>
                <w:kern w:val="0"/>
                <w:sz w:val="20"/>
                <w:lang w:eastAsia="zh-CN"/>
              </w:rPr>
              <w:t>喷烘房</w:t>
            </w:r>
            <w:r>
              <w:rPr>
                <w:rFonts w:hint="eastAsia"/>
                <w:kern w:val="0"/>
                <w:sz w:val="20"/>
              </w:rPr>
              <w:t>内操作。</w:t>
            </w:r>
          </w:p>
          <w:p>
            <w:pPr>
              <w:tabs>
                <w:tab w:val="left" w:pos="268"/>
              </w:tabs>
              <w:overflowPunct w:val="0"/>
              <w:topLinePunct/>
              <w:spacing w:line="320" w:lineRule="exact"/>
              <w:rPr>
                <w:kern w:val="0"/>
                <w:sz w:val="20"/>
              </w:rPr>
            </w:pPr>
            <w:r>
              <w:rPr>
                <w:rFonts w:hint="eastAsia"/>
                <w:kern w:val="0"/>
                <w:sz w:val="20"/>
              </w:rPr>
              <w:t>4、打磨、清洗、调漆、烘干等工序应在密闭空间内进行，且废气应排至废气收集处理系统。</w:t>
            </w:r>
          </w:p>
          <w:p>
            <w:pPr>
              <w:tabs>
                <w:tab w:val="left" w:pos="268"/>
              </w:tabs>
              <w:overflowPunct w:val="0"/>
              <w:topLinePunct/>
              <w:spacing w:line="320" w:lineRule="exact"/>
              <w:rPr>
                <w:kern w:val="0"/>
                <w:sz w:val="20"/>
              </w:rPr>
            </w:pPr>
            <w:r>
              <w:rPr>
                <w:rFonts w:hint="eastAsia"/>
                <w:kern w:val="0"/>
                <w:sz w:val="20"/>
              </w:rPr>
              <w:t>5、清洗后的废液应密闭收集处理，湿式喷漆房循环水泵间应密闭，安装废气收集处理设施。</w:t>
            </w:r>
          </w:p>
          <w:p>
            <w:pPr>
              <w:tabs>
                <w:tab w:val="left" w:pos="268"/>
              </w:tabs>
              <w:overflowPunct w:val="0"/>
              <w:topLinePunct/>
              <w:spacing w:line="320" w:lineRule="exact"/>
              <w:rPr>
                <w:kern w:val="0"/>
                <w:sz w:val="20"/>
              </w:rPr>
            </w:pPr>
            <w:r>
              <w:rPr>
                <w:rFonts w:hint="eastAsia"/>
                <w:kern w:val="0"/>
                <w:sz w:val="20"/>
              </w:rPr>
              <w:t>6、采用溶剂型涂料的喷枪应密闭清洗。</w:t>
            </w:r>
          </w:p>
          <w:p>
            <w:pPr>
              <w:tabs>
                <w:tab w:val="left" w:pos="268"/>
              </w:tabs>
              <w:overflowPunct w:val="0"/>
              <w:topLinePunct/>
              <w:spacing w:line="320" w:lineRule="exact"/>
              <w:rPr>
                <w:kern w:val="0"/>
                <w:sz w:val="20"/>
              </w:rPr>
            </w:pPr>
            <w:r>
              <w:rPr>
                <w:rFonts w:hint="eastAsia"/>
                <w:kern w:val="0"/>
                <w:sz w:val="20"/>
              </w:rPr>
              <w:t>7、涉VOCs物料的密闭空间区域，除人员、车辆、设备、物料进出时，以及依法设立的排气筒、通风口外，门窗及其他开口（孔）部位应随时保持关闭状态。</w:t>
            </w:r>
          </w:p>
          <w:p>
            <w:pPr>
              <w:tabs>
                <w:tab w:val="left" w:pos="268"/>
              </w:tabs>
              <w:overflowPunct w:val="0"/>
              <w:topLinePunct/>
              <w:spacing w:line="320" w:lineRule="exact"/>
              <w:rPr>
                <w:kern w:val="0"/>
                <w:sz w:val="20"/>
              </w:rPr>
            </w:pPr>
            <w:r>
              <w:rPr>
                <w:rFonts w:hint="eastAsia"/>
                <w:kern w:val="0"/>
                <w:sz w:val="20"/>
              </w:rPr>
              <w:t>8、废气收集处理系统应与生产工艺设备同步运行，在生产工艺设备启动前开启、结束后停止；废气收集处理系统发生故障或检修时，对应的生产工艺设备应停止运行，待检修完毕后同步投入使用。</w:t>
            </w:r>
          </w:p>
          <w:p>
            <w:pPr>
              <w:tabs>
                <w:tab w:val="left" w:pos="268"/>
              </w:tabs>
              <w:overflowPunct w:val="0"/>
              <w:topLinePunct/>
              <w:spacing w:line="320" w:lineRule="exact"/>
              <w:rPr>
                <w:kern w:val="0"/>
                <w:sz w:val="20"/>
              </w:rPr>
            </w:pPr>
            <w:r>
              <w:rPr>
                <w:rFonts w:hint="eastAsia"/>
                <w:kern w:val="0"/>
                <w:sz w:val="20"/>
              </w:rPr>
              <w:t>9、危险废料存放于独立密闭暂存间内，暂存间内地面硬化并做好防扬散、防流失、防渗漏措施；液体危废需采用密闭容器盛装，必须有</w:t>
            </w:r>
            <w:r>
              <w:rPr>
                <w:rFonts w:hint="default"/>
                <w:kern w:val="0"/>
                <w:sz w:val="20"/>
              </w:rPr>
              <w:t>泄漏</w:t>
            </w:r>
            <w:r>
              <w:rPr>
                <w:rFonts w:hint="eastAsia"/>
                <w:kern w:val="0"/>
                <w:sz w:val="20"/>
              </w:rPr>
              <w:t>液收集装置（托盘、导流沟、收集池等）；废溶剂、废吸附剂、沾有涂料或溶剂的废抹布等废弃物应放入具有标识的密闭容器中，暂存间废气经导出口排至气体净化装置。</w:t>
            </w:r>
          </w:p>
          <w:p>
            <w:pPr>
              <w:tabs>
                <w:tab w:val="left" w:pos="268"/>
              </w:tabs>
              <w:overflowPunct w:val="0"/>
              <w:topLinePunct/>
              <w:spacing w:line="320" w:lineRule="exact"/>
              <w:rPr>
                <w:kern w:val="0"/>
                <w:sz w:val="20"/>
              </w:rPr>
            </w:pPr>
            <w:r>
              <w:rPr>
                <w:rFonts w:hint="eastAsia"/>
                <w:kern w:val="0"/>
                <w:sz w:val="20"/>
              </w:rPr>
              <w:t>10、采用低压高流量</w:t>
            </w:r>
            <w:r>
              <w:rPr>
                <w:kern w:val="0"/>
                <w:sz w:val="20"/>
              </w:rPr>
              <w:t>（</w:t>
            </w:r>
            <w:r>
              <w:rPr>
                <w:rFonts w:hint="eastAsia"/>
                <w:kern w:val="0"/>
                <w:sz w:val="20"/>
              </w:rPr>
              <w:t>HVLP</w:t>
            </w:r>
            <w:r>
              <w:rPr>
                <w:kern w:val="0"/>
                <w:sz w:val="20"/>
              </w:rPr>
              <w:t>）</w:t>
            </w:r>
            <w:r>
              <w:rPr>
                <w:rFonts w:hint="eastAsia"/>
                <w:kern w:val="0"/>
                <w:sz w:val="20"/>
              </w:rPr>
              <w:t>、中压低流量</w:t>
            </w:r>
            <w:r>
              <w:rPr>
                <w:kern w:val="0"/>
                <w:sz w:val="20"/>
              </w:rPr>
              <w:t>（</w:t>
            </w:r>
            <w:r>
              <w:rPr>
                <w:rFonts w:hint="eastAsia"/>
                <w:kern w:val="0"/>
                <w:sz w:val="20"/>
              </w:rPr>
              <w:t>LVMP</w:t>
            </w:r>
            <w:r>
              <w:rPr>
                <w:kern w:val="0"/>
                <w:sz w:val="20"/>
              </w:rPr>
              <w:t>）</w:t>
            </w:r>
            <w:r>
              <w:rPr>
                <w:rFonts w:hint="eastAsia"/>
                <w:kern w:val="0"/>
                <w:sz w:val="20"/>
              </w:rPr>
              <w:t>、空气辅助式无气喷涂、无气喷涂、静电等高效喷涂技术喷枪。</w:t>
            </w:r>
          </w:p>
          <w:p>
            <w:pPr>
              <w:tabs>
                <w:tab w:val="left" w:pos="268"/>
              </w:tabs>
              <w:overflowPunct w:val="0"/>
              <w:topLinePunct/>
              <w:spacing w:line="320" w:lineRule="exact"/>
              <w:rPr>
                <w:kern w:val="0"/>
                <w:sz w:val="20"/>
              </w:rPr>
            </w:pPr>
            <w:r>
              <w:rPr>
                <w:rFonts w:hint="eastAsia"/>
                <w:kern w:val="0"/>
                <w:sz w:val="20"/>
              </w:rPr>
              <w:t>11、厂区地面全部硬化或绿化，无裸露土地。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977"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废气治理技术</w:t>
            </w:r>
          </w:p>
        </w:tc>
        <w:tc>
          <w:tcPr>
            <w:tcW w:w="402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1、使用水性涂料时，当车间或生产设施排气中非甲烷总烃（NMHC）初始排放速率≥2 kg/h时，需配套废气收集及末端治污设施。</w:t>
            </w:r>
          </w:p>
          <w:p>
            <w:pPr>
              <w:overflowPunct w:val="0"/>
              <w:topLinePunct/>
              <w:spacing w:line="320" w:lineRule="exact"/>
              <w:rPr>
                <w:kern w:val="0"/>
                <w:sz w:val="20"/>
              </w:rPr>
            </w:pPr>
            <w:r>
              <w:rPr>
                <w:rFonts w:hint="eastAsia"/>
                <w:kern w:val="0"/>
                <w:sz w:val="20"/>
              </w:rPr>
              <w:t>2、使用溶剂型涂料时，调漆、喷漆、烘干等涂装工序废气排至废气收集处理系统，采用漆雾预处理+热力焚烧或吸附浓缩+燃烧等治理技术，整体处理效率应不低于</w:t>
            </w:r>
            <w:r>
              <w:rPr>
                <w:rFonts w:hint="eastAsia"/>
                <w:kern w:val="0"/>
                <w:sz w:val="20"/>
                <w:lang w:val="en-US" w:eastAsia="zh-CN"/>
              </w:rPr>
              <w:t>85</w:t>
            </w:r>
            <w:r>
              <w:rPr>
                <w:rFonts w:hint="eastAsia"/>
                <w:kern w:val="0"/>
                <w:sz w:val="20"/>
              </w:rPr>
              <w:t>%。</w:t>
            </w:r>
          </w:p>
          <w:p>
            <w:pPr>
              <w:overflowPunct w:val="0"/>
              <w:topLinePunct/>
              <w:spacing w:line="320" w:lineRule="exact"/>
              <w:rPr>
                <w:kern w:val="0"/>
                <w:sz w:val="20"/>
              </w:rPr>
            </w:pPr>
            <w:r>
              <w:rPr>
                <w:rFonts w:hint="eastAsia"/>
                <w:kern w:val="0"/>
                <w:sz w:val="20"/>
              </w:rPr>
              <w:t>3、打磨废气收集至袋式除尘、滤筒除尘</w:t>
            </w:r>
            <w:r>
              <w:rPr>
                <w:rFonts w:hint="eastAsia"/>
                <w:kern w:val="0"/>
                <w:sz w:val="20"/>
                <w:lang w:eastAsia="zh-CN"/>
              </w:rPr>
              <w:t>或其他同</w:t>
            </w:r>
            <w:r>
              <w:rPr>
                <w:rFonts w:hint="eastAsia"/>
                <w:kern w:val="0"/>
                <w:sz w:val="20"/>
              </w:rPr>
              <w:t>等高效除尘器（设计效率高于99%）。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977"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监测监控水平</w:t>
            </w:r>
          </w:p>
        </w:tc>
        <w:tc>
          <w:tcPr>
            <w:tcW w:w="4023"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320" w:lineRule="exact"/>
              <w:rPr>
                <w:kern w:val="0"/>
                <w:sz w:val="20"/>
              </w:rPr>
            </w:pPr>
            <w:r>
              <w:rPr>
                <w:rFonts w:hint="eastAsia"/>
                <w:kern w:val="0"/>
                <w:sz w:val="20"/>
              </w:rPr>
              <w:t>1、重点排污企业风量大于10000 m</w:t>
            </w:r>
            <w:r>
              <w:rPr>
                <w:rFonts w:hint="eastAsia"/>
                <w:kern w:val="0"/>
                <w:sz w:val="20"/>
                <w:vertAlign w:val="superscript"/>
              </w:rPr>
              <w:t>3</w:t>
            </w:r>
            <w:r>
              <w:rPr>
                <w:rFonts w:hint="eastAsia"/>
                <w:kern w:val="0"/>
                <w:sz w:val="20"/>
              </w:rPr>
              <w:t>/h的</w:t>
            </w:r>
            <w:r>
              <w:rPr>
                <w:rFonts w:hint="eastAsia"/>
                <w:kern w:val="0"/>
                <w:sz w:val="20"/>
                <w:lang w:val="en-US" w:eastAsia="zh-CN"/>
              </w:rPr>
              <w:t>有机废气</w:t>
            </w:r>
            <w:r>
              <w:rPr>
                <w:rFonts w:hint="eastAsia"/>
                <w:kern w:val="0"/>
                <w:sz w:val="20"/>
              </w:rPr>
              <w:t>主要</w:t>
            </w:r>
            <w:r>
              <w:rPr>
                <w:rFonts w:hint="eastAsia"/>
                <w:kern w:val="0"/>
                <w:sz w:val="20"/>
                <w:lang w:val="en-US" w:eastAsia="zh-CN"/>
              </w:rPr>
              <w:t>排放口</w:t>
            </w:r>
            <w:r>
              <w:rPr>
                <w:rFonts w:hint="eastAsia"/>
                <w:kern w:val="0"/>
                <w:sz w:val="20"/>
              </w:rPr>
              <w:t>安装NMHC</w:t>
            </w:r>
            <w:r>
              <w:rPr>
                <w:rFonts w:hint="eastAsia"/>
                <w:kern w:val="0"/>
                <w:sz w:val="20"/>
                <w:lang w:eastAsia="zh-CN"/>
              </w:rPr>
              <w:t>在线监控系统（</w:t>
            </w:r>
            <w:r>
              <w:rPr>
                <w:rFonts w:hint="eastAsia"/>
                <w:kern w:val="0"/>
                <w:sz w:val="20"/>
                <w:lang w:val="en-US" w:eastAsia="zh-CN"/>
              </w:rPr>
              <w:t>FID检测器</w:t>
            </w:r>
            <w:r>
              <w:rPr>
                <w:rFonts w:hint="eastAsia"/>
                <w:kern w:val="0"/>
                <w:sz w:val="20"/>
                <w:lang w:eastAsia="zh-CN"/>
              </w:rPr>
              <w:t>）</w:t>
            </w:r>
            <w:r>
              <w:rPr>
                <w:rFonts w:hint="eastAsia"/>
                <w:kern w:val="0"/>
                <w:sz w:val="20"/>
              </w:rPr>
              <w:t>，并与生态环境主管部门的监控设备联网，数据保存一年以上（投产或安装时间不满一年的企业，以现有数据为准）。</w:t>
            </w:r>
          </w:p>
          <w:p>
            <w:pPr>
              <w:overflowPunct w:val="0"/>
              <w:topLinePunct/>
              <w:spacing w:line="320" w:lineRule="exact"/>
              <w:rPr>
                <w:kern w:val="0"/>
                <w:sz w:val="20"/>
              </w:rPr>
            </w:pPr>
            <w:r>
              <w:rPr>
                <w:rFonts w:hint="eastAsia"/>
                <w:kern w:val="0"/>
                <w:sz w:val="20"/>
              </w:rPr>
              <w:t>2、按照排污许可证、行业自行监测指南或排污单位自行监测技术指南等相关要求开展自行监测。</w:t>
            </w:r>
          </w:p>
          <w:p>
            <w:pPr>
              <w:overflowPunct w:val="0"/>
              <w:topLinePunct/>
              <w:spacing w:line="320" w:lineRule="exact"/>
              <w:rPr>
                <w:kern w:val="0"/>
                <w:sz w:val="20"/>
              </w:rPr>
            </w:pPr>
            <w:r>
              <w:rPr>
                <w:rFonts w:hint="eastAsia"/>
                <w:kern w:val="0"/>
                <w:sz w:val="20"/>
              </w:rPr>
              <w:t>3、喷漆房安装高清视频监控系统，视频能够保存3个月以上。</w:t>
            </w:r>
          </w:p>
          <w:p>
            <w:pPr>
              <w:keepNext w:val="0"/>
              <w:keepLines w:val="0"/>
              <w:pageBreakBefore w:val="0"/>
              <w:widowControl w:val="0"/>
              <w:tabs>
                <w:tab w:val="left" w:pos="267"/>
              </w:tabs>
              <w:kinsoku/>
              <w:wordWrap/>
              <w:overflowPunct w:val="0"/>
              <w:topLinePunct/>
              <w:autoSpaceDE/>
              <w:autoSpaceDN/>
              <w:bidi w:val="0"/>
              <w:adjustRightInd/>
              <w:snapToGrid/>
              <w:spacing w:line="320" w:lineRule="exact"/>
              <w:ind w:left="0"/>
              <w:textAlignment w:val="auto"/>
              <w:rPr>
                <w:kern w:val="0"/>
                <w:sz w:val="20"/>
              </w:rPr>
            </w:pPr>
            <w:r>
              <w:rPr>
                <w:rFonts w:hint="eastAsia"/>
                <w:kern w:val="0"/>
                <w:sz w:val="20"/>
                <w:lang w:val="en-US" w:eastAsia="zh-CN"/>
              </w:rPr>
              <w:t>4</w:t>
            </w:r>
            <w:r>
              <w:rPr>
                <w:rFonts w:hint="eastAsia"/>
                <w:kern w:val="0"/>
                <w:sz w:val="20"/>
              </w:rPr>
              <w:t>、企业主要环保设施及生产设施安装分布式控制系统（DCS）或可保存和查看历史数据的可编程控制系统（PLC），记录企业环保设施运行及相关生产过程主要参数，数据保存一年以上。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977"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排放限值</w:t>
            </w:r>
          </w:p>
        </w:tc>
        <w:tc>
          <w:tcPr>
            <w:tcW w:w="402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1、在连续一年的监测数据中，车间或生产设施排气筒排放的</w:t>
            </w:r>
            <w:r>
              <w:rPr>
                <w:kern w:val="0"/>
                <w:sz w:val="20"/>
              </w:rPr>
              <w:t>PM</w:t>
            </w:r>
            <w:r>
              <w:rPr>
                <w:rFonts w:hint="eastAsia"/>
                <w:kern w:val="0"/>
                <w:sz w:val="20"/>
              </w:rPr>
              <w:t>、苯系物、NMHC浓度分别不高于10mg/m</w:t>
            </w:r>
            <w:r>
              <w:rPr>
                <w:rFonts w:hint="eastAsia"/>
                <w:kern w:val="0"/>
                <w:sz w:val="20"/>
                <w:vertAlign w:val="superscript"/>
              </w:rPr>
              <w:t>3</w:t>
            </w:r>
            <w:r>
              <w:rPr>
                <w:rFonts w:hint="eastAsia"/>
                <w:kern w:val="0"/>
                <w:sz w:val="20"/>
              </w:rPr>
              <w:t>、10mg/m</w:t>
            </w:r>
            <w:r>
              <w:rPr>
                <w:rFonts w:hint="eastAsia"/>
                <w:kern w:val="0"/>
                <w:sz w:val="20"/>
                <w:vertAlign w:val="superscript"/>
              </w:rPr>
              <w:t>3</w:t>
            </w:r>
            <w:r>
              <w:rPr>
                <w:rFonts w:hint="eastAsia"/>
                <w:kern w:val="0"/>
                <w:sz w:val="20"/>
              </w:rPr>
              <w:t>、20mg/m</w:t>
            </w:r>
            <w:r>
              <w:rPr>
                <w:rFonts w:hint="eastAsia"/>
                <w:kern w:val="0"/>
                <w:sz w:val="20"/>
                <w:vertAlign w:val="superscript"/>
              </w:rPr>
              <w:t>3</w:t>
            </w:r>
            <w:r>
              <w:rPr>
                <w:rFonts w:hint="eastAsia"/>
                <w:kern w:val="0"/>
                <w:sz w:val="20"/>
              </w:rPr>
              <w:t>。</w:t>
            </w:r>
          </w:p>
          <w:p>
            <w:pPr>
              <w:tabs>
                <w:tab w:val="left" w:pos="268"/>
              </w:tabs>
              <w:overflowPunct w:val="0"/>
              <w:topLinePunct/>
              <w:spacing w:line="320" w:lineRule="exact"/>
              <w:rPr>
                <w:kern w:val="0"/>
                <w:sz w:val="20"/>
              </w:rPr>
            </w:pPr>
            <w:r>
              <w:rPr>
                <w:rFonts w:hint="eastAsia"/>
                <w:kern w:val="0"/>
                <w:sz w:val="20"/>
              </w:rPr>
              <w:t>2、厂区内无组织排放监控点NMHC的小时平均浓度值不超过4mg/m</w:t>
            </w:r>
            <w:r>
              <w:rPr>
                <w:rFonts w:hint="eastAsia"/>
                <w:kern w:val="0"/>
                <w:sz w:val="20"/>
                <w:vertAlign w:val="superscript"/>
              </w:rPr>
              <w:t>3</w:t>
            </w:r>
            <w:r>
              <w:rPr>
                <w:rFonts w:hint="eastAsia"/>
                <w:kern w:val="0"/>
                <w:sz w:val="20"/>
              </w:rPr>
              <w:t>、任意一次浓度值不超过10mg/m</w:t>
            </w:r>
            <w:r>
              <w:rPr>
                <w:rFonts w:hint="eastAsia"/>
                <w:kern w:val="0"/>
                <w:sz w:val="20"/>
                <w:vertAlign w:val="superscript"/>
              </w:rPr>
              <w:t>3</w:t>
            </w:r>
            <w:r>
              <w:rPr>
                <w:rFonts w:hint="eastAsia"/>
                <w:kern w:val="0"/>
                <w:sz w:val="20"/>
              </w:rPr>
              <w:t>。</w:t>
            </w:r>
          </w:p>
          <w:p>
            <w:pPr>
              <w:tabs>
                <w:tab w:val="left" w:pos="268"/>
              </w:tabs>
              <w:overflowPunct w:val="0"/>
              <w:topLinePunct/>
              <w:spacing w:line="320" w:lineRule="exact"/>
              <w:ind w:left="188" w:hanging="188" w:hangingChars="100"/>
              <w:rPr>
                <w:kern w:val="0"/>
                <w:sz w:val="20"/>
              </w:rPr>
            </w:pPr>
            <w:r>
              <w:rPr>
                <w:rFonts w:hint="eastAsia"/>
                <w:kern w:val="0"/>
                <w:sz w:val="20"/>
              </w:rPr>
              <w:t>3、企业边界PM、苯、甲苯、二甲苯、苯系物、NMHC无组织排放浓度分别不高于1、0.1、0.2、0.2、1和2 mg/m</w:t>
            </w:r>
            <w:r>
              <w:rPr>
                <w:rFonts w:hint="eastAsia"/>
                <w:kern w:val="0"/>
                <w:sz w:val="20"/>
                <w:vertAlign w:val="superscript"/>
              </w:rPr>
              <w:t>3</w:t>
            </w:r>
            <w:r>
              <w:rPr>
                <w:rFonts w:hint="eastAsia"/>
                <w:kern w:val="0"/>
                <w:sz w:val="20"/>
              </w:rPr>
              <w:t>。</w:t>
            </w:r>
          </w:p>
          <w:p>
            <w:pPr>
              <w:tabs>
                <w:tab w:val="left" w:pos="268"/>
              </w:tabs>
              <w:overflowPunct w:val="0"/>
              <w:topLinePunct/>
              <w:spacing w:line="320" w:lineRule="exact"/>
              <w:rPr>
                <w:kern w:val="0"/>
                <w:sz w:val="20"/>
              </w:rPr>
            </w:pPr>
            <w:r>
              <w:rPr>
                <w:rFonts w:hint="eastAsia"/>
                <w:kern w:val="0"/>
                <w:sz w:val="20"/>
              </w:rPr>
              <w:t>4、其他各项污染物稳定达到现行排放控制要求。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977"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环保管理水平</w:t>
            </w:r>
          </w:p>
        </w:tc>
        <w:tc>
          <w:tcPr>
            <w:tcW w:w="402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left"/>
              <w:rPr>
                <w:kern w:val="0"/>
                <w:sz w:val="20"/>
              </w:rPr>
            </w:pPr>
            <w:r>
              <w:rPr>
                <w:rFonts w:hint="eastAsia"/>
                <w:kern w:val="0"/>
                <w:sz w:val="20"/>
              </w:rPr>
              <w:t>1、环保档案齐全：</w:t>
            </w:r>
            <w:r>
              <w:rPr>
                <w:rFonts w:hint="eastAsia" w:cs="宋体"/>
                <w:kern w:val="0"/>
                <w:sz w:val="20"/>
              </w:rPr>
              <w:t>①</w:t>
            </w:r>
            <w:r>
              <w:rPr>
                <w:rFonts w:hint="eastAsia"/>
                <w:kern w:val="0"/>
                <w:sz w:val="20"/>
              </w:rPr>
              <w:t>环评批复文件和竣工环保验收文件或者环境现状评估备案证明；</w:t>
            </w:r>
            <w:r>
              <w:rPr>
                <w:rFonts w:hint="eastAsia" w:cs="宋体"/>
                <w:kern w:val="0"/>
                <w:sz w:val="20"/>
              </w:rPr>
              <w:t>②</w:t>
            </w:r>
            <w:r>
              <w:rPr>
                <w:rFonts w:hint="eastAsia"/>
                <w:kern w:val="0"/>
                <w:sz w:val="20"/>
              </w:rPr>
              <w:t>废气治理设施运行管理规程；</w:t>
            </w:r>
            <w:r>
              <w:rPr>
                <w:rFonts w:hint="eastAsia" w:cs="宋体"/>
                <w:kern w:val="0"/>
                <w:sz w:val="20"/>
              </w:rPr>
              <w:t>③</w:t>
            </w:r>
            <w:r>
              <w:rPr>
                <w:rFonts w:hint="eastAsia"/>
                <w:kern w:val="0"/>
                <w:sz w:val="20"/>
              </w:rPr>
              <w:t>一年内废气监测报告。</w:t>
            </w:r>
          </w:p>
          <w:p>
            <w:pPr>
              <w:overflowPunct w:val="0"/>
              <w:topLinePunct/>
              <w:spacing w:line="320" w:lineRule="exact"/>
              <w:jc w:val="left"/>
              <w:rPr>
                <w:kern w:val="0"/>
                <w:sz w:val="20"/>
              </w:rPr>
            </w:pPr>
            <w:r>
              <w:rPr>
                <w:rFonts w:hint="eastAsia"/>
                <w:kern w:val="0"/>
                <w:sz w:val="20"/>
              </w:rPr>
              <w:t>2、台账记录：</w:t>
            </w:r>
            <w:r>
              <w:rPr>
                <w:rFonts w:hint="eastAsia" w:cs="宋体"/>
                <w:kern w:val="0"/>
                <w:sz w:val="20"/>
              </w:rPr>
              <w:t>①</w:t>
            </w:r>
            <w:r>
              <w:rPr>
                <w:rFonts w:hint="eastAsia"/>
                <w:kern w:val="0"/>
                <w:sz w:val="20"/>
              </w:rPr>
              <w:t>生产设施运行管理信息（生产时间、运行负荷、产品产量等，必须具备近一年及以上所用涂料的密度、扣水后VOCs含量、含水率（水性涂料）等信息的检测报告）；</w:t>
            </w:r>
            <w:r>
              <w:rPr>
                <w:rFonts w:hint="eastAsia" w:cs="宋体"/>
                <w:kern w:val="0"/>
                <w:sz w:val="20"/>
              </w:rPr>
              <w:t>②</w:t>
            </w:r>
            <w:r>
              <w:rPr>
                <w:rFonts w:hint="eastAsia"/>
                <w:kern w:val="0"/>
                <w:sz w:val="20"/>
              </w:rPr>
              <w:t>废气污染治理设施运行管理信息（过滤材料更换频次、吸附剂更换频次、催化剂更换频次</w:t>
            </w:r>
            <w:r>
              <w:rPr>
                <w:rFonts w:hint="eastAsia"/>
                <w:kern w:val="0"/>
                <w:sz w:val="20"/>
                <w:lang w:eastAsia="zh-CN"/>
              </w:rPr>
              <w:t>等</w:t>
            </w:r>
            <w:r>
              <w:rPr>
                <w:rFonts w:hint="eastAsia"/>
                <w:kern w:val="0"/>
                <w:sz w:val="20"/>
              </w:rPr>
              <w:t>）；</w:t>
            </w:r>
            <w:r>
              <w:rPr>
                <w:rFonts w:hint="eastAsia" w:cs="宋体"/>
                <w:kern w:val="0"/>
                <w:sz w:val="20"/>
              </w:rPr>
              <w:t>③</w:t>
            </w:r>
            <w:r>
              <w:rPr>
                <w:rFonts w:hint="eastAsia"/>
                <w:kern w:val="0"/>
                <w:sz w:val="20"/>
              </w:rPr>
              <w:t>主要原辅材料消耗记录。</w:t>
            </w:r>
          </w:p>
          <w:p>
            <w:pPr>
              <w:overflowPunct w:val="0"/>
              <w:topLinePunct/>
              <w:spacing w:line="320" w:lineRule="exact"/>
              <w:jc w:val="left"/>
              <w:rPr>
                <w:kern w:val="0"/>
                <w:sz w:val="20"/>
              </w:rPr>
            </w:pPr>
            <w:r>
              <w:rPr>
                <w:rFonts w:hint="eastAsia"/>
                <w:kern w:val="0"/>
                <w:sz w:val="20"/>
              </w:rPr>
              <w:t>3、人员配置：配备专职环保人员，并具备相应的环境管理能力（学历、培训、从业经验等）。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977"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jc w:val="center"/>
              <w:rPr>
                <w:rFonts w:eastAsia="黑体"/>
                <w:kern w:val="0"/>
                <w:sz w:val="20"/>
              </w:rPr>
            </w:pPr>
            <w:r>
              <w:rPr>
                <w:rFonts w:hint="eastAsia" w:eastAsia="黑体"/>
                <w:kern w:val="0"/>
                <w:sz w:val="20"/>
              </w:rPr>
              <w:t>运输方式</w:t>
            </w:r>
          </w:p>
        </w:tc>
        <w:tc>
          <w:tcPr>
            <w:tcW w:w="4023"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320" w:lineRule="exact"/>
              <w:rPr>
                <w:kern w:val="0"/>
                <w:sz w:val="20"/>
              </w:rPr>
            </w:pPr>
            <w:r>
              <w:rPr>
                <w:rFonts w:hint="eastAsia"/>
                <w:kern w:val="0"/>
                <w:sz w:val="20"/>
              </w:rPr>
              <w:t>厂内非道路移动机械全部达到国三及以上标准或使用新能源机械。</w:t>
            </w:r>
          </w:p>
        </w:tc>
      </w:tr>
    </w:tbl>
    <w:p>
      <w:pPr>
        <w:overflowPunct w:val="0"/>
        <w:topLinePunct/>
        <w:spacing w:line="360" w:lineRule="auto"/>
        <w:rPr>
          <w:sz w:val="20"/>
        </w:rPr>
        <w:sectPr>
          <w:headerReference r:id="rId71" w:type="default"/>
          <w:footerReference r:id="rId73" w:type="default"/>
          <w:headerReference r:id="rId72" w:type="even"/>
          <w:footerReference r:id="rId74" w:type="even"/>
          <w:pgSz w:w="16840" w:h="11910" w:orient="landscape"/>
          <w:pgMar w:top="1588" w:right="2098" w:bottom="1474" w:left="1247" w:header="851" w:footer="992" w:gutter="0"/>
          <w:cols w:space="720" w:num="1"/>
        </w:sectPr>
      </w:pPr>
    </w:p>
    <w:p>
      <w:pPr>
        <w:overflowPunct w:val="0"/>
        <w:topLinePunct/>
        <w:spacing w:line="500" w:lineRule="exact"/>
        <w:ind w:firstLine="576" w:firstLineChars="200"/>
        <w:outlineLvl w:val="2"/>
        <w:rPr>
          <w:rFonts w:eastAsia="楷体_GB2312"/>
          <w:kern w:val="0"/>
          <w:sz w:val="30"/>
          <w:szCs w:val="30"/>
        </w:rPr>
      </w:pPr>
      <w:bookmarkStart w:id="121" w:name="_Toc13533"/>
      <w:bookmarkStart w:id="122" w:name="_Toc121413379"/>
      <w:r>
        <w:rPr>
          <w:rFonts w:eastAsia="楷体_GB2312"/>
          <w:kern w:val="0"/>
          <w:sz w:val="30"/>
          <w:szCs w:val="30"/>
        </w:rPr>
        <w:t>（五）减排措施</w:t>
      </w:r>
      <w:bookmarkEnd w:id="121"/>
      <w:bookmarkEnd w:id="122"/>
    </w:p>
    <w:p>
      <w:pPr>
        <w:overflowPunct w:val="0"/>
        <w:topLinePunct/>
        <w:spacing w:line="500" w:lineRule="exact"/>
        <w:ind w:firstLine="576" w:firstLineChars="200"/>
        <w:rPr>
          <w:sz w:val="30"/>
          <w:szCs w:val="30"/>
        </w:rPr>
      </w:pPr>
      <w:r>
        <w:rPr>
          <w:sz w:val="30"/>
          <w:szCs w:val="30"/>
        </w:rPr>
        <w:t>1、引领性企业</w:t>
      </w:r>
    </w:p>
    <w:p>
      <w:pPr>
        <w:overflowPunct w:val="0"/>
        <w:topLinePunct/>
        <w:spacing w:line="500" w:lineRule="exact"/>
        <w:ind w:firstLine="576" w:firstLineChars="200"/>
        <w:rPr>
          <w:sz w:val="30"/>
          <w:szCs w:val="30"/>
        </w:rPr>
      </w:pPr>
      <w:r>
        <w:rPr>
          <w:sz w:val="30"/>
          <w:szCs w:val="30"/>
        </w:rPr>
        <w:t>鼓励结合实际，自主采取减排措施。</w:t>
      </w:r>
    </w:p>
    <w:p>
      <w:pPr>
        <w:overflowPunct w:val="0"/>
        <w:topLinePunct/>
        <w:spacing w:line="500" w:lineRule="exact"/>
        <w:ind w:firstLine="576" w:firstLineChars="200"/>
        <w:rPr>
          <w:sz w:val="30"/>
          <w:szCs w:val="30"/>
        </w:rPr>
      </w:pPr>
      <w:r>
        <w:rPr>
          <w:sz w:val="30"/>
          <w:szCs w:val="30"/>
        </w:rPr>
        <w:t>2、非引领性企业</w:t>
      </w:r>
    </w:p>
    <w:p>
      <w:pPr>
        <w:overflowPunct w:val="0"/>
        <w:topLinePunct/>
        <w:spacing w:line="500" w:lineRule="exact"/>
        <w:ind w:firstLine="576" w:firstLineChars="200"/>
        <w:rPr>
          <w:sz w:val="30"/>
          <w:szCs w:val="30"/>
        </w:rPr>
      </w:pPr>
      <w:r>
        <w:rPr>
          <w:sz w:val="30"/>
          <w:szCs w:val="30"/>
        </w:rPr>
        <w:t>黄色及以上预警期间：调漆、喷涂、烘干、打磨等工序停产。</w:t>
      </w:r>
    </w:p>
    <w:p>
      <w:pPr>
        <w:overflowPunct w:val="0"/>
        <w:topLinePunct/>
        <w:spacing w:line="500" w:lineRule="exact"/>
        <w:ind w:firstLine="576" w:firstLineChars="200"/>
        <w:outlineLvl w:val="2"/>
        <w:rPr>
          <w:rFonts w:eastAsia="楷体_GB2312"/>
          <w:kern w:val="0"/>
          <w:sz w:val="30"/>
          <w:szCs w:val="30"/>
        </w:rPr>
      </w:pPr>
      <w:bookmarkStart w:id="123" w:name="_Toc32456"/>
      <w:bookmarkStart w:id="124" w:name="_Toc121413380"/>
      <w:r>
        <w:rPr>
          <w:rFonts w:eastAsia="楷体_GB2312"/>
          <w:kern w:val="0"/>
          <w:sz w:val="30"/>
          <w:szCs w:val="30"/>
        </w:rPr>
        <w:t>（六）核查方法</w:t>
      </w:r>
      <w:bookmarkEnd w:id="123"/>
      <w:bookmarkEnd w:id="124"/>
    </w:p>
    <w:p>
      <w:pPr>
        <w:overflowPunct w:val="0"/>
        <w:topLinePunct/>
        <w:spacing w:line="500" w:lineRule="exact"/>
        <w:ind w:firstLine="576" w:firstLineChars="200"/>
        <w:rPr>
          <w:sz w:val="30"/>
          <w:szCs w:val="30"/>
        </w:rPr>
      </w:pPr>
      <w:r>
        <w:rPr>
          <w:sz w:val="30"/>
          <w:szCs w:val="30"/>
        </w:rPr>
        <w:t>1、电量分析：调取企业用电情况，分析预警</w:t>
      </w:r>
      <w:r>
        <w:rPr>
          <w:rFonts w:hint="eastAsia"/>
          <w:sz w:val="30"/>
          <w:szCs w:val="30"/>
          <w:lang w:val="en-US" w:eastAsia="zh-CN"/>
        </w:rPr>
        <w:t>前后</w:t>
      </w:r>
      <w:r>
        <w:rPr>
          <w:sz w:val="30"/>
          <w:szCs w:val="30"/>
        </w:rPr>
        <w:t>企业涉气工序生产设备用电量明细，比对采取减排措施期间的用电量是否明显下降。</w:t>
      </w:r>
    </w:p>
    <w:p>
      <w:pPr>
        <w:overflowPunct w:val="0"/>
        <w:topLinePunct/>
        <w:spacing w:line="500" w:lineRule="exact"/>
        <w:ind w:firstLine="576" w:firstLineChars="200"/>
        <w:rPr>
          <w:sz w:val="30"/>
          <w:szCs w:val="30"/>
        </w:rPr>
      </w:pPr>
      <w:r>
        <w:rPr>
          <w:sz w:val="30"/>
          <w:szCs w:val="30"/>
        </w:rPr>
        <w:t>2、现场核查：查看调漆、喷涂、烘干、打磨等生产工序在预警期间是否按要求实施停产。</w:t>
      </w:r>
    </w:p>
    <w:p>
      <w:pPr>
        <w:overflowPunct w:val="0"/>
        <w:topLinePunct/>
        <w:spacing w:line="500" w:lineRule="exact"/>
        <w:ind w:firstLine="576" w:firstLineChars="200"/>
        <w:rPr>
          <w:sz w:val="30"/>
          <w:szCs w:val="30"/>
        </w:rPr>
      </w:pPr>
      <w:r>
        <w:rPr>
          <w:sz w:val="30"/>
          <w:szCs w:val="30"/>
        </w:rPr>
        <w:t>3、台账核查：重点核查企业喷漆房设施启停记录，核查企业生产台账记录。</w:t>
      </w:r>
    </w:p>
    <w:p>
      <w:pPr>
        <w:overflowPunct w:val="0"/>
        <w:topLinePunct/>
        <w:spacing w:line="500" w:lineRule="exact"/>
        <w:ind w:firstLine="576" w:firstLineChars="200"/>
        <w:outlineLvl w:val="1"/>
        <w:rPr>
          <w:rFonts w:eastAsia="黑体"/>
          <w:kern w:val="0"/>
          <w:sz w:val="30"/>
          <w:szCs w:val="30"/>
        </w:rPr>
      </w:pPr>
      <w:bookmarkStart w:id="125" w:name="_Toc20294"/>
      <w:bookmarkStart w:id="126" w:name="_Toc121413381"/>
      <w:r>
        <w:rPr>
          <w:rFonts w:eastAsia="黑体"/>
          <w:kern w:val="0"/>
          <w:sz w:val="30"/>
          <w:szCs w:val="30"/>
        </w:rPr>
        <w:t>十、通用行业</w:t>
      </w:r>
      <w:bookmarkEnd w:id="125"/>
      <w:bookmarkEnd w:id="126"/>
    </w:p>
    <w:p>
      <w:pPr>
        <w:overflowPunct w:val="0"/>
        <w:topLinePunct/>
        <w:spacing w:line="500" w:lineRule="exact"/>
        <w:ind w:firstLine="576" w:firstLineChars="200"/>
        <w:outlineLvl w:val="2"/>
        <w:rPr>
          <w:rFonts w:eastAsia="楷体_GB2312"/>
          <w:kern w:val="0"/>
          <w:sz w:val="30"/>
          <w:szCs w:val="30"/>
        </w:rPr>
      </w:pPr>
      <w:bookmarkStart w:id="127" w:name="_Toc27262"/>
      <w:bookmarkStart w:id="128" w:name="_Toc121413382"/>
      <w:r>
        <w:rPr>
          <w:rFonts w:eastAsia="楷体_GB2312"/>
          <w:kern w:val="0"/>
          <w:sz w:val="30"/>
          <w:szCs w:val="30"/>
        </w:rPr>
        <w:t>（一）适用范围及要求</w:t>
      </w:r>
      <w:bookmarkEnd w:id="127"/>
      <w:bookmarkEnd w:id="128"/>
    </w:p>
    <w:p>
      <w:pPr>
        <w:keepNext w:val="0"/>
        <w:keepLines w:val="0"/>
        <w:widowControl/>
        <w:suppressLineNumbers w:val="0"/>
        <w:spacing w:line="500" w:lineRule="atLeast"/>
        <w:ind w:firstLine="576" w:firstLineChars="200"/>
        <w:jc w:val="both"/>
        <w:rPr>
          <w:sz w:val="30"/>
          <w:szCs w:val="30"/>
          <w:lang w:bidi="ar"/>
        </w:rPr>
      </w:pPr>
      <w:r>
        <w:rPr>
          <w:sz w:val="30"/>
          <w:szCs w:val="30"/>
        </w:rPr>
        <w:t>通用行业是指未纳入国家和省级重点行业的涉气企业</w:t>
      </w:r>
      <w:r>
        <w:rPr>
          <w:rFonts w:hint="eastAsia"/>
          <w:sz w:val="30"/>
          <w:szCs w:val="30"/>
          <w:highlight w:val="none"/>
          <w:lang w:eastAsia="zh-CN"/>
        </w:rPr>
        <w:t>，</w:t>
      </w:r>
      <w:r>
        <w:rPr>
          <w:sz w:val="30"/>
          <w:szCs w:val="30"/>
        </w:rPr>
        <w:t>包括涉颗粒物（PM）、涉挥发性有机物（VOCs）及涉锅炉/炉窑的企业。规定了企业各类物料装卸、储存、转移、输送和工艺过程污染控制要求，以及锅炉/炉窑的</w:t>
      </w:r>
      <w:r>
        <w:rPr>
          <w:rFonts w:hint="eastAsia"/>
          <w:sz w:val="30"/>
          <w:szCs w:val="30"/>
          <w:lang w:eastAsia="zh-CN"/>
        </w:rPr>
        <w:t>颗粒物（</w:t>
      </w:r>
      <w:r>
        <w:rPr>
          <w:rFonts w:hint="eastAsia"/>
          <w:sz w:val="30"/>
          <w:szCs w:val="30"/>
        </w:rPr>
        <w:t>PM</w:t>
      </w:r>
      <w:r>
        <w:rPr>
          <w:rFonts w:hint="eastAsia"/>
          <w:sz w:val="30"/>
          <w:szCs w:val="30"/>
          <w:lang w:eastAsia="zh-CN"/>
        </w:rPr>
        <w:t>）</w:t>
      </w:r>
      <w:r>
        <w:rPr>
          <w:sz w:val="30"/>
          <w:szCs w:val="30"/>
        </w:rPr>
        <w:t>、</w:t>
      </w:r>
      <w:r>
        <w:rPr>
          <w:rFonts w:hint="eastAsia"/>
          <w:sz w:val="30"/>
          <w:szCs w:val="30"/>
        </w:rPr>
        <w:t>二氧化硫</w:t>
      </w:r>
      <w:r>
        <w:rPr>
          <w:sz w:val="30"/>
          <w:szCs w:val="30"/>
        </w:rPr>
        <w:t>（</w:t>
      </w:r>
      <w:r>
        <w:rPr>
          <w:rFonts w:hint="eastAsia"/>
          <w:sz w:val="30"/>
          <w:szCs w:val="30"/>
        </w:rPr>
        <w:t>SO</w:t>
      </w:r>
      <w:r>
        <w:rPr>
          <w:rFonts w:hint="eastAsia"/>
          <w:sz w:val="30"/>
          <w:szCs w:val="30"/>
          <w:vertAlign w:val="subscript"/>
        </w:rPr>
        <w:t>2</w:t>
      </w:r>
      <w:r>
        <w:rPr>
          <w:rFonts w:hint="eastAsia"/>
          <w:sz w:val="30"/>
          <w:szCs w:val="30"/>
        </w:rPr>
        <w:t>）</w:t>
      </w:r>
      <w:r>
        <w:rPr>
          <w:sz w:val="30"/>
          <w:szCs w:val="30"/>
        </w:rPr>
        <w:t>、</w:t>
      </w:r>
      <w:r>
        <w:rPr>
          <w:rFonts w:hint="eastAsia"/>
          <w:sz w:val="30"/>
          <w:szCs w:val="30"/>
        </w:rPr>
        <w:t>氮氧化物</w:t>
      </w:r>
      <w:r>
        <w:rPr>
          <w:sz w:val="30"/>
          <w:szCs w:val="30"/>
        </w:rPr>
        <w:t>（</w:t>
      </w:r>
      <w:r>
        <w:rPr>
          <w:rFonts w:hint="eastAsia"/>
          <w:sz w:val="30"/>
          <w:szCs w:val="30"/>
        </w:rPr>
        <w:t>NO</w:t>
      </w:r>
      <w:r>
        <w:rPr>
          <w:rFonts w:cs="Times New Roman Bold Italic"/>
          <w:i/>
          <w:iCs/>
          <w:sz w:val="30"/>
          <w:szCs w:val="30"/>
          <w:vertAlign w:val="subscript"/>
        </w:rPr>
        <w:t>x</w:t>
      </w:r>
      <w:r>
        <w:rPr>
          <w:sz w:val="30"/>
          <w:szCs w:val="30"/>
        </w:rPr>
        <w:t>）控制要求。</w:t>
      </w:r>
    </w:p>
    <w:p>
      <w:pPr>
        <w:overflowPunct w:val="0"/>
        <w:topLinePunct/>
        <w:spacing w:line="500" w:lineRule="exact"/>
        <w:rPr>
          <w:sz w:val="30"/>
          <w:szCs w:val="30"/>
        </w:rPr>
      </w:pPr>
    </w:p>
    <w:p>
      <w:pPr>
        <w:overflowPunct w:val="0"/>
        <w:topLinePunct/>
        <w:spacing w:line="500" w:lineRule="exact"/>
        <w:rPr>
          <w:sz w:val="30"/>
          <w:szCs w:val="30"/>
        </w:rPr>
      </w:pPr>
    </w:p>
    <w:p>
      <w:pPr>
        <w:overflowPunct w:val="0"/>
        <w:topLinePunct/>
        <w:spacing w:line="500" w:lineRule="exact"/>
        <w:ind w:firstLine="576" w:firstLineChars="200"/>
        <w:rPr>
          <w:sz w:val="30"/>
          <w:szCs w:val="30"/>
        </w:rPr>
        <w:sectPr>
          <w:headerReference r:id="rId75" w:type="default"/>
          <w:footerReference r:id="rId77" w:type="default"/>
          <w:headerReference r:id="rId76" w:type="even"/>
          <w:footerReference r:id="rId78" w:type="even"/>
          <w:pgSz w:w="11910" w:h="16840"/>
          <w:pgMar w:top="2098" w:right="1474" w:bottom="1247" w:left="1588" w:header="851" w:footer="992" w:gutter="0"/>
          <w:cols w:space="720" w:num="1"/>
        </w:sectPr>
      </w:pPr>
    </w:p>
    <w:p>
      <w:pPr>
        <w:overflowPunct w:val="0"/>
        <w:topLinePunct/>
        <w:spacing w:line="360" w:lineRule="auto"/>
        <w:jc w:val="left"/>
        <w:outlineLvl w:val="2"/>
        <w:rPr>
          <w:rFonts w:eastAsia="楷体_GB2312"/>
          <w:kern w:val="0"/>
          <w:sz w:val="30"/>
          <w:szCs w:val="30"/>
        </w:rPr>
      </w:pPr>
      <w:bookmarkStart w:id="129" w:name="_Toc27759"/>
      <w:bookmarkStart w:id="130" w:name="_Toc121413383"/>
      <w:r>
        <w:rPr>
          <w:rFonts w:eastAsia="楷体_GB2312"/>
          <w:kern w:val="0"/>
          <w:sz w:val="30"/>
          <w:szCs w:val="30"/>
        </w:rPr>
        <w:t>（二）绩效分级指标</w:t>
      </w:r>
      <w:bookmarkEnd w:id="129"/>
      <w:bookmarkEnd w:id="130"/>
    </w:p>
    <w:p>
      <w:pPr>
        <w:overflowPunct w:val="0"/>
        <w:topLinePunct/>
        <w:jc w:val="center"/>
        <w:rPr>
          <w:rFonts w:eastAsia="黑体"/>
          <w:kern w:val="0"/>
          <w:sz w:val="24"/>
          <w:szCs w:val="24"/>
        </w:rPr>
      </w:pPr>
      <w:r>
        <w:rPr>
          <w:rFonts w:eastAsia="黑体"/>
          <w:kern w:val="0"/>
          <w:sz w:val="24"/>
          <w:szCs w:val="24"/>
        </w:rPr>
        <w:t>表10-1  通用行业企业绩效分级指标</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189"/>
        <w:gridCol w:w="4621"/>
        <w:gridCol w:w="4830"/>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80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hint="default" w:eastAsia="黑体"/>
                <w:kern w:val="0"/>
                <w:sz w:val="21"/>
                <w:szCs w:val="21"/>
              </w:rPr>
            </w:pPr>
            <w:r>
              <w:rPr>
                <w:rFonts w:hint="default" w:eastAsia="黑体"/>
                <w:kern w:val="0"/>
                <w:sz w:val="21"/>
                <w:szCs w:val="21"/>
              </w:rPr>
              <w:t>差异化指标</w:t>
            </w:r>
          </w:p>
        </w:tc>
        <w:tc>
          <w:tcPr>
            <w:tcW w:w="170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hint="default" w:eastAsia="黑体"/>
                <w:kern w:val="0"/>
                <w:sz w:val="21"/>
                <w:szCs w:val="21"/>
              </w:rPr>
            </w:pPr>
            <w:r>
              <w:rPr>
                <w:rFonts w:hint="default" w:eastAsia="黑体"/>
                <w:kern w:val="0"/>
                <w:sz w:val="21"/>
                <w:szCs w:val="21"/>
              </w:rPr>
              <w:t>A级企业</w:t>
            </w:r>
          </w:p>
        </w:tc>
        <w:tc>
          <w:tcPr>
            <w:tcW w:w="1781"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hint="default" w:eastAsia="黑体"/>
                <w:kern w:val="0"/>
                <w:sz w:val="21"/>
                <w:szCs w:val="21"/>
              </w:rPr>
            </w:pPr>
            <w:r>
              <w:rPr>
                <w:rFonts w:hint="default" w:eastAsia="黑体"/>
                <w:kern w:val="0"/>
                <w:sz w:val="21"/>
                <w:szCs w:val="21"/>
              </w:rPr>
              <w:t>B级企业</w:t>
            </w:r>
          </w:p>
        </w:tc>
        <w:tc>
          <w:tcPr>
            <w:tcW w:w="70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hint="default" w:eastAsia="黑体"/>
                <w:kern w:val="0"/>
                <w:sz w:val="21"/>
                <w:szCs w:val="21"/>
              </w:rPr>
            </w:pPr>
            <w:r>
              <w:rPr>
                <w:rFonts w:hint="default" w:eastAsia="黑体"/>
                <w:kern w:val="0"/>
                <w:sz w:val="21"/>
                <w:szCs w:val="21"/>
              </w:rPr>
              <w:t>C级企业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80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能源类型</w:t>
            </w:r>
          </w:p>
        </w:tc>
        <w:tc>
          <w:tcPr>
            <w:tcW w:w="170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spacing w:val="0"/>
                <w:sz w:val="20"/>
              </w:rPr>
            </w:pPr>
            <w:r>
              <w:rPr>
                <w:rFonts w:hint="eastAsia"/>
                <w:spacing w:val="0"/>
                <w:sz w:val="20"/>
              </w:rPr>
              <w:t>以电、天然气为能源。</w:t>
            </w:r>
          </w:p>
        </w:tc>
        <w:tc>
          <w:tcPr>
            <w:tcW w:w="2485" w:type="pct"/>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kern w:val="0"/>
                <w:sz w:val="20"/>
              </w:rPr>
            </w:pPr>
            <w:r>
              <w:rPr>
                <w:rFonts w:hint="eastAsia"/>
                <w:kern w:val="0"/>
                <w:sz w:val="20"/>
              </w:rPr>
              <w:t>未达到A级要求。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80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生产工艺</w:t>
            </w:r>
          </w:p>
        </w:tc>
        <w:tc>
          <w:tcPr>
            <w:tcW w:w="3487" w:type="pct"/>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属于《产业结构调整指导目录》鼓励类。</w:t>
            </w:r>
          </w:p>
        </w:tc>
        <w:tc>
          <w:tcPr>
            <w:tcW w:w="70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808"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无组织管控</w:t>
            </w:r>
          </w:p>
        </w:tc>
        <w:tc>
          <w:tcPr>
            <w:tcW w:w="3487" w:type="pct"/>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（一）涉PM企业基本要求</w:t>
            </w:r>
          </w:p>
          <w:p>
            <w:pPr>
              <w:overflowPunct w:val="0"/>
              <w:topLinePunct/>
              <w:spacing w:line="280" w:lineRule="exact"/>
              <w:rPr>
                <w:kern w:val="0"/>
                <w:sz w:val="20"/>
              </w:rPr>
            </w:pPr>
            <w:r>
              <w:rPr>
                <w:rFonts w:hint="eastAsia"/>
                <w:kern w:val="0"/>
                <w:sz w:val="20"/>
              </w:rPr>
              <w:t>1、物料装卸</w:t>
            </w:r>
          </w:p>
          <w:p>
            <w:pPr>
              <w:overflowPunct w:val="0"/>
              <w:topLinePunct/>
              <w:spacing w:line="280" w:lineRule="exact"/>
              <w:rPr>
                <w:kern w:val="0"/>
                <w:sz w:val="20"/>
              </w:rPr>
            </w:pPr>
            <w:r>
              <w:rPr>
                <w:rFonts w:hint="eastAsia"/>
                <w:kern w:val="0"/>
                <w:sz w:val="20"/>
              </w:rPr>
              <w:t>（1）车辆运输的物料应采取封闭措施。粉状、粒状、块状散装物料在封闭料场内装卸，装卸过程中产尘点应设置集尘除尘装置，料场应采取有效抑尘措施。</w:t>
            </w:r>
          </w:p>
          <w:p>
            <w:pPr>
              <w:overflowPunct w:val="0"/>
              <w:topLinePunct/>
              <w:spacing w:line="280" w:lineRule="exact"/>
              <w:rPr>
                <w:kern w:val="0"/>
                <w:sz w:val="20"/>
              </w:rPr>
            </w:pPr>
            <w:r>
              <w:rPr>
                <w:rFonts w:hint="eastAsia"/>
                <w:kern w:val="0"/>
                <w:sz w:val="20"/>
              </w:rPr>
              <w:t>（2）不易产尘的袋装物料宜在料棚中装卸，如需露天装卸应采取防止破袋及粉尘外逸措施。</w:t>
            </w:r>
          </w:p>
          <w:p>
            <w:pPr>
              <w:overflowPunct w:val="0"/>
              <w:topLinePunct/>
              <w:spacing w:line="280" w:lineRule="exact"/>
              <w:rPr>
                <w:kern w:val="0"/>
                <w:sz w:val="20"/>
              </w:rPr>
            </w:pPr>
            <w:r>
              <w:rPr>
                <w:rFonts w:hint="eastAsia"/>
                <w:kern w:val="0"/>
                <w:sz w:val="20"/>
              </w:rPr>
              <w:t>2、物料储存</w:t>
            </w:r>
          </w:p>
          <w:p>
            <w:pPr>
              <w:overflowPunct w:val="0"/>
              <w:topLinePunct/>
              <w:spacing w:line="280" w:lineRule="exact"/>
              <w:rPr>
                <w:kern w:val="0"/>
                <w:sz w:val="20"/>
              </w:rPr>
            </w:pPr>
            <w:r>
              <w:rPr>
                <w:rFonts w:hint="eastAsia"/>
                <w:kern w:val="0"/>
                <w:sz w:val="20"/>
              </w:rPr>
              <w:t>（1）一般物料。粉状物料应储存于密闭/封闭料仓中；粒状、块状物料应储存于封闭料场中，并采取喷淋、清扫或其他有效抑尘措施；袋装物料应储存于封闭/半封闭料场中。封闭料场顶棚和四周围墙完整，料场内路面全部硬化，料场货物进出大门为硬质材料门或自动感应门，在确保安全的情况下，所有门窗保持常闭状态</w:t>
            </w:r>
            <w:r>
              <w:rPr>
                <w:rFonts w:hint="eastAsia"/>
                <w:kern w:val="0"/>
                <w:sz w:val="20"/>
                <w:lang w:eastAsia="zh-CN"/>
              </w:rPr>
              <w:t>；半封闭料场应具有屋顶及三面围挡（围墙）结构，且物料堆放高度部高度围挡（围墙）高度</w:t>
            </w:r>
            <w:r>
              <w:rPr>
                <w:rFonts w:hint="eastAsia"/>
                <w:kern w:val="0"/>
                <w:sz w:val="20"/>
              </w:rPr>
              <w:t>。不产尘物料（如钢材、管件）及产品如露天储存应在规定的存储区域码放整齐。</w:t>
            </w:r>
          </w:p>
          <w:p>
            <w:pPr>
              <w:overflowPunct w:val="0"/>
              <w:topLinePunct/>
              <w:spacing w:line="280" w:lineRule="exact"/>
              <w:rPr>
                <w:kern w:val="0"/>
                <w:sz w:val="20"/>
              </w:rPr>
            </w:pPr>
            <w:r>
              <w:rPr>
                <w:rFonts w:hint="eastAsia"/>
                <w:kern w:val="0"/>
                <w:sz w:val="20"/>
              </w:rPr>
              <w:t>（2）危险废物。应有符合规范要求的危险废物储存间，危险废物储存间门口应张贴标准规范的危险废物标识和危废信息板，建立台账并挂于危废间内，危险废物的记录和货单保存3年以上。危废间内禁止存放除危险废物和应急工具外的其他物品。</w:t>
            </w:r>
          </w:p>
          <w:p>
            <w:pPr>
              <w:overflowPunct w:val="0"/>
              <w:topLinePunct/>
              <w:spacing w:line="280" w:lineRule="exact"/>
              <w:rPr>
                <w:kern w:val="0"/>
                <w:sz w:val="20"/>
              </w:rPr>
            </w:pPr>
            <w:r>
              <w:rPr>
                <w:rFonts w:hint="eastAsia"/>
                <w:kern w:val="0"/>
                <w:sz w:val="20"/>
              </w:rPr>
              <w:t>3、物料转移和输送</w:t>
            </w:r>
          </w:p>
          <w:p>
            <w:pPr>
              <w:overflowPunct w:val="0"/>
              <w:topLinePunct/>
              <w:spacing w:line="280" w:lineRule="exact"/>
              <w:rPr>
                <w:kern w:val="0"/>
                <w:sz w:val="20"/>
              </w:rPr>
            </w:pPr>
            <w:r>
              <w:rPr>
                <w:rFonts w:hint="eastAsia"/>
                <w:kern w:val="0"/>
                <w:sz w:val="20"/>
              </w:rPr>
              <w:t>（1）粉状物料转移、输送过程应采用管状带式输送机、气力输送、密闭车厢等密闭方式运输；粒状、块状或粘湿物料采用皮带通廊、封闭车厢等封闭方式运输或苫盖严密，防止沿途抛洒和飞扬；无法封闭的产尘点（物料转载、下料口等）应采取集尘除尘措施，或有效抑尘措施。</w:t>
            </w:r>
          </w:p>
          <w:p>
            <w:pPr>
              <w:overflowPunct w:val="0"/>
              <w:topLinePunct/>
              <w:spacing w:line="280" w:lineRule="exact"/>
              <w:rPr>
                <w:kern w:val="0"/>
                <w:sz w:val="20"/>
              </w:rPr>
            </w:pPr>
            <w:r>
              <w:rPr>
                <w:rFonts w:hint="eastAsia"/>
                <w:kern w:val="0"/>
                <w:sz w:val="20"/>
              </w:rPr>
              <w:t>4、工艺过程</w:t>
            </w:r>
          </w:p>
          <w:p>
            <w:pPr>
              <w:overflowPunct w:val="0"/>
              <w:topLinePunct/>
              <w:spacing w:line="280" w:lineRule="exact"/>
              <w:rPr>
                <w:kern w:val="0"/>
                <w:sz w:val="20"/>
              </w:rPr>
            </w:pPr>
            <w:r>
              <w:rPr>
                <w:rFonts w:hint="eastAsia"/>
                <w:kern w:val="0"/>
                <w:sz w:val="20"/>
              </w:rPr>
              <w:t>（1）各种物料破碎、筛分、配料、混料等过程应在封闭厂房内进行，并采取局部有效抑尘、集尘除尘措施。破碎筛分设备在进、出料口和配料混料过程等产尘点应设置集尘除尘设施。</w:t>
            </w:r>
          </w:p>
          <w:p>
            <w:pPr>
              <w:overflowPunct w:val="0"/>
              <w:topLinePunct/>
              <w:spacing w:line="280" w:lineRule="exact"/>
              <w:rPr>
                <w:kern w:val="0"/>
                <w:sz w:val="20"/>
              </w:rPr>
            </w:pPr>
            <w:r>
              <w:rPr>
                <w:rFonts w:hint="eastAsia"/>
                <w:kern w:val="0"/>
                <w:sz w:val="20"/>
              </w:rPr>
              <w:t>（2）各生产工序的车间地面干净，无积料、积灰现象。生产车间不得有可见烟粉尘外逸。</w:t>
            </w:r>
          </w:p>
        </w:tc>
        <w:tc>
          <w:tcPr>
            <w:tcW w:w="70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rFonts w:hint="eastAsia"/>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808"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p>
        </w:tc>
        <w:tc>
          <w:tcPr>
            <w:tcW w:w="3487" w:type="pct"/>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（二）涉VOCs企业基本要求</w:t>
            </w:r>
          </w:p>
          <w:p>
            <w:pPr>
              <w:overflowPunct w:val="0"/>
              <w:topLinePunct/>
              <w:spacing w:line="280" w:lineRule="exact"/>
              <w:rPr>
                <w:kern w:val="0"/>
                <w:sz w:val="20"/>
              </w:rPr>
            </w:pPr>
            <w:r>
              <w:rPr>
                <w:rFonts w:hint="eastAsia"/>
                <w:kern w:val="0"/>
                <w:sz w:val="20"/>
              </w:rPr>
              <w:t>1、物料储存</w:t>
            </w:r>
          </w:p>
          <w:p>
            <w:pPr>
              <w:overflowPunct w:val="0"/>
              <w:topLinePunct/>
              <w:spacing w:line="280" w:lineRule="exact"/>
              <w:rPr>
                <w:kern w:val="0"/>
                <w:sz w:val="20"/>
              </w:rPr>
            </w:pPr>
            <w:r>
              <w:rPr>
                <w:rFonts w:hint="eastAsia"/>
                <w:kern w:val="0"/>
                <w:sz w:val="20"/>
              </w:rPr>
              <w:t>（1）VOCs物料应储存于密闭的容器、包装袋、储罐、储库、料仓中。盛装VOCs物料的容器或者包装袋应存放于室内，或存放于设置有雨棚、遮阳</w:t>
            </w:r>
            <w:r>
              <w:rPr>
                <w:rFonts w:hint="eastAsia"/>
                <w:kern w:val="0"/>
                <w:sz w:val="20"/>
                <w:lang w:eastAsia="zh-CN"/>
              </w:rPr>
              <w:t>和</w:t>
            </w:r>
            <w:r>
              <w:rPr>
                <w:rFonts w:hint="eastAsia"/>
                <w:kern w:val="0"/>
                <w:sz w:val="20"/>
              </w:rPr>
              <w:t>防渗设施的专用场地。盛装VOCs物料的容器或包装袋在非取用状态时应加盖、封口，保持密闭。</w:t>
            </w:r>
          </w:p>
          <w:p>
            <w:pPr>
              <w:overflowPunct w:val="0"/>
              <w:topLinePunct/>
              <w:spacing w:line="280" w:lineRule="exact"/>
              <w:rPr>
                <w:kern w:val="0"/>
                <w:sz w:val="20"/>
              </w:rPr>
            </w:pPr>
            <w:r>
              <w:rPr>
                <w:rFonts w:hint="eastAsia"/>
                <w:kern w:val="0"/>
                <w:sz w:val="20"/>
              </w:rPr>
              <w:t>（2）危险废料存放于符合规范要求的危险废物储存间间内，暂存间内地面硬化并做好防扬散、防流失、防渗漏措施；液体危废需采用密闭容器盛装，必须有</w:t>
            </w:r>
            <w:r>
              <w:rPr>
                <w:rFonts w:hint="default"/>
                <w:kern w:val="0"/>
                <w:sz w:val="20"/>
              </w:rPr>
              <w:t>泄漏</w:t>
            </w:r>
            <w:r>
              <w:rPr>
                <w:rFonts w:hint="eastAsia"/>
                <w:kern w:val="0"/>
                <w:sz w:val="20"/>
              </w:rPr>
              <w:t>液收集装置（托盘、导流沟、收集池等）；具有挥发性气体的危废需采用密闭容器盛装，暂存间废气经导出口排至气体净化装置。危险废物储存间门口应张贴标准规范的危险废物标识和危废信息板，建立台账并挂于危废间内，危险废物的记录和货单保存3年以上。危废间内禁止存放除危险废物和应急工具外的其他物品。</w:t>
            </w:r>
          </w:p>
          <w:p>
            <w:pPr>
              <w:overflowPunct w:val="0"/>
              <w:topLinePunct/>
              <w:spacing w:line="280" w:lineRule="exact"/>
              <w:rPr>
                <w:kern w:val="0"/>
                <w:sz w:val="20"/>
              </w:rPr>
            </w:pPr>
            <w:r>
              <w:rPr>
                <w:rFonts w:hint="eastAsia"/>
                <w:kern w:val="0"/>
                <w:sz w:val="20"/>
              </w:rPr>
              <w:t>2、物料转移和输送</w:t>
            </w:r>
          </w:p>
          <w:p>
            <w:pPr>
              <w:overflowPunct w:val="0"/>
              <w:topLinePunct/>
              <w:spacing w:line="280" w:lineRule="exact"/>
              <w:rPr>
                <w:kern w:val="0"/>
                <w:sz w:val="20"/>
              </w:rPr>
            </w:pPr>
            <w:r>
              <w:rPr>
                <w:rFonts w:hint="eastAsia"/>
                <w:kern w:val="0"/>
                <w:sz w:val="20"/>
              </w:rPr>
              <w:t>（1）VOCs物料采用密闭管道或密闭容器等密闭输送。</w:t>
            </w:r>
          </w:p>
          <w:p>
            <w:pPr>
              <w:overflowPunct w:val="0"/>
              <w:topLinePunct/>
              <w:spacing w:line="280" w:lineRule="exact"/>
              <w:rPr>
                <w:kern w:val="0"/>
                <w:sz w:val="20"/>
              </w:rPr>
            </w:pPr>
            <w:r>
              <w:rPr>
                <w:rFonts w:hint="eastAsia"/>
                <w:kern w:val="0"/>
                <w:sz w:val="20"/>
              </w:rPr>
              <w:t>（2）VOCs物料采用密闭包装、密闭容器等密闭方式进行转移。</w:t>
            </w:r>
          </w:p>
          <w:p>
            <w:pPr>
              <w:overflowPunct w:val="0"/>
              <w:topLinePunct/>
              <w:spacing w:line="280" w:lineRule="exact"/>
              <w:rPr>
                <w:kern w:val="0"/>
                <w:sz w:val="20"/>
              </w:rPr>
            </w:pPr>
            <w:r>
              <w:rPr>
                <w:rFonts w:hint="eastAsia"/>
                <w:kern w:val="0"/>
                <w:sz w:val="20"/>
              </w:rPr>
              <w:t>3、工艺过程</w:t>
            </w:r>
          </w:p>
          <w:p>
            <w:pPr>
              <w:overflowPunct w:val="0"/>
              <w:topLinePunct/>
              <w:spacing w:line="280" w:lineRule="exact"/>
              <w:rPr>
                <w:kern w:val="0"/>
                <w:sz w:val="20"/>
              </w:rPr>
            </w:pPr>
            <w:r>
              <w:rPr>
                <w:rFonts w:hint="eastAsia"/>
                <w:kern w:val="0"/>
                <w:sz w:val="20"/>
              </w:rPr>
              <w:t>（1）原辅材料调配、使用、回收等过程采用密闭设备或在密闭空间内操作。</w:t>
            </w:r>
          </w:p>
          <w:p>
            <w:pPr>
              <w:overflowPunct w:val="0"/>
              <w:topLinePunct/>
              <w:spacing w:line="280" w:lineRule="exact"/>
              <w:rPr>
                <w:kern w:val="0"/>
                <w:sz w:val="20"/>
              </w:rPr>
            </w:pPr>
            <w:r>
              <w:rPr>
                <w:rFonts w:hint="eastAsia"/>
                <w:kern w:val="0"/>
                <w:sz w:val="20"/>
                <w:lang w:eastAsia="zh-CN"/>
              </w:rPr>
              <w:t>（</w:t>
            </w:r>
            <w:r>
              <w:rPr>
                <w:rFonts w:hint="eastAsia"/>
                <w:kern w:val="0"/>
                <w:sz w:val="20"/>
                <w:lang w:val="en-US" w:eastAsia="zh-CN"/>
              </w:rPr>
              <w:t>2</w:t>
            </w:r>
            <w:r>
              <w:rPr>
                <w:rFonts w:hint="eastAsia"/>
                <w:kern w:val="0"/>
                <w:sz w:val="20"/>
                <w:lang w:eastAsia="zh-CN"/>
              </w:rPr>
              <w:t>）</w:t>
            </w:r>
            <w:r>
              <w:rPr>
                <w:rFonts w:hint="eastAsia"/>
                <w:kern w:val="0"/>
                <w:sz w:val="20"/>
              </w:rPr>
              <w:t>涉 VOCs 原料装卸、储存、转移和输送、工艺过程等环节的废气全部收集引至VOCs处理系统。</w:t>
            </w:r>
          </w:p>
          <w:p>
            <w:pPr>
              <w:overflowPunct w:val="0"/>
              <w:topLinePunct/>
              <w:spacing w:line="280" w:lineRule="exact"/>
              <w:rPr>
                <w:kern w:val="0"/>
                <w:sz w:val="20"/>
              </w:rPr>
            </w:pPr>
            <w:r>
              <w:rPr>
                <w:rFonts w:hint="eastAsia"/>
                <w:kern w:val="0"/>
                <w:sz w:val="20"/>
              </w:rPr>
              <w:t>4、其他涉VOCs物料的过程需满足《挥发性有机物无组织排放控制标准》（GB37822-2019）的无组织管控要求。</w:t>
            </w:r>
          </w:p>
        </w:tc>
        <w:tc>
          <w:tcPr>
            <w:tcW w:w="70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rFonts w:hint="eastAsia"/>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808" w:type="pct"/>
            <w:vMerge w:val="continue"/>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p>
        </w:tc>
        <w:tc>
          <w:tcPr>
            <w:tcW w:w="3487" w:type="pct"/>
            <w:gridSpan w:val="2"/>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（三）厂容厂貌</w:t>
            </w:r>
          </w:p>
          <w:p>
            <w:pPr>
              <w:overflowPunct w:val="0"/>
              <w:topLinePunct/>
              <w:spacing w:line="280" w:lineRule="exact"/>
              <w:rPr>
                <w:kern w:val="0"/>
                <w:sz w:val="20"/>
              </w:rPr>
            </w:pPr>
            <w:r>
              <w:rPr>
                <w:rFonts w:hint="eastAsia"/>
                <w:kern w:val="0"/>
                <w:sz w:val="20"/>
              </w:rPr>
              <w:t>厂区内道路、原辅材料和燃料堆场等路面应硬化。厂区内道路采取定期清扫、洒水等措施，保持清洁，路面无明显可见积尘。其他未利用地优先绿化，或进行硬化，无成片裸露土地。</w:t>
            </w:r>
          </w:p>
        </w:tc>
        <w:tc>
          <w:tcPr>
            <w:tcW w:w="70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rFonts w:hint="eastAsia"/>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808" w:type="pct"/>
            <w:vMerge w:val="restart"/>
            <w:tcBorders>
              <w:top w:val="single" w:color="auto" w:sz="4" w:space="0"/>
              <w:left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污染治理技术</w:t>
            </w:r>
          </w:p>
        </w:tc>
        <w:tc>
          <w:tcPr>
            <w:tcW w:w="170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spacing w:val="0"/>
                <w:sz w:val="20"/>
              </w:rPr>
            </w:pPr>
            <w:r>
              <w:rPr>
                <w:rFonts w:hint="eastAsia"/>
                <w:spacing w:val="0"/>
                <w:sz w:val="20"/>
              </w:rPr>
              <w:t>（一）涉锅炉/炉窑要求：</w:t>
            </w:r>
          </w:p>
          <w:p>
            <w:pPr>
              <w:overflowPunct w:val="0"/>
              <w:topLinePunct/>
              <w:spacing w:line="280" w:lineRule="exact"/>
              <w:rPr>
                <w:spacing w:val="0"/>
                <w:sz w:val="20"/>
              </w:rPr>
            </w:pPr>
            <w:r>
              <w:rPr>
                <w:rFonts w:hint="eastAsia"/>
                <w:spacing w:val="0"/>
                <w:sz w:val="20"/>
              </w:rPr>
              <w:t>1、电窑：</w:t>
            </w:r>
          </w:p>
          <w:p>
            <w:pPr>
              <w:overflowPunct w:val="0"/>
              <w:topLinePunct/>
              <w:spacing w:line="280" w:lineRule="exact"/>
              <w:rPr>
                <w:spacing w:val="0"/>
                <w:sz w:val="20"/>
              </w:rPr>
            </w:pPr>
            <w:r>
              <w:rPr>
                <w:rFonts w:hint="eastAsia"/>
                <w:spacing w:val="0"/>
                <w:sz w:val="20"/>
              </w:rPr>
              <w:t>PM采用覆膜袋式除尘、电袋复合除尘、湿电除尘、静电除尘等高效除尘技术。</w:t>
            </w:r>
          </w:p>
          <w:p>
            <w:pPr>
              <w:overflowPunct w:val="0"/>
              <w:topLinePunct/>
              <w:spacing w:line="280" w:lineRule="exact"/>
              <w:rPr>
                <w:spacing w:val="0"/>
                <w:sz w:val="20"/>
              </w:rPr>
            </w:pPr>
            <w:r>
              <w:rPr>
                <w:rFonts w:hint="eastAsia"/>
                <w:spacing w:val="0"/>
                <w:sz w:val="20"/>
              </w:rPr>
              <w:t>2、燃气锅炉/炉窑：</w:t>
            </w:r>
          </w:p>
          <w:p>
            <w:pPr>
              <w:overflowPunct w:val="0"/>
              <w:topLinePunct/>
              <w:spacing w:line="280" w:lineRule="exact"/>
              <w:rPr>
                <w:spacing w:val="0"/>
                <w:sz w:val="20"/>
              </w:rPr>
            </w:pPr>
            <w:r>
              <w:rPr>
                <w:rFonts w:hint="eastAsia"/>
                <w:spacing w:val="0"/>
                <w:sz w:val="20"/>
              </w:rPr>
              <w:t>（1）PM</w:t>
            </w:r>
            <w:r>
              <w:rPr>
                <w:rFonts w:hint="eastAsia"/>
                <w:spacing w:val="0"/>
                <w:sz w:val="20"/>
                <w:vertAlign w:val="superscript"/>
              </w:rPr>
              <w:t>【1】</w:t>
            </w:r>
            <w:r>
              <w:rPr>
                <w:rFonts w:hint="eastAsia"/>
                <w:spacing w:val="0"/>
                <w:sz w:val="20"/>
              </w:rPr>
              <w:t>采用袋式除尘、静电除尘、湿电除尘等高效除尘技术。</w:t>
            </w:r>
          </w:p>
          <w:p>
            <w:pPr>
              <w:overflowPunct w:val="0"/>
              <w:topLinePunct/>
              <w:spacing w:line="280" w:lineRule="exact"/>
              <w:rPr>
                <w:sz w:val="20"/>
              </w:rPr>
            </w:pPr>
            <w:r>
              <w:rPr>
                <w:rFonts w:hint="eastAsia"/>
                <w:spacing w:val="0"/>
                <w:sz w:val="20"/>
              </w:rPr>
              <w:t>（2）NO</w:t>
            </w:r>
            <w:r>
              <w:rPr>
                <w:rFonts w:hint="eastAsia"/>
                <w:i/>
                <w:iCs/>
                <w:spacing w:val="0"/>
                <w:sz w:val="20"/>
                <w:vertAlign w:val="subscript"/>
              </w:rPr>
              <w:t>x</w:t>
            </w:r>
            <w:r>
              <w:rPr>
                <w:rFonts w:hint="eastAsia"/>
                <w:spacing w:val="0"/>
                <w:sz w:val="20"/>
                <w:vertAlign w:val="superscript"/>
              </w:rPr>
              <w:t>【2】</w:t>
            </w:r>
            <w:r>
              <w:rPr>
                <w:rFonts w:hint="eastAsia"/>
                <w:spacing w:val="0"/>
                <w:sz w:val="20"/>
              </w:rPr>
              <w:t>采用低氮燃烧或SNCR/SCR等技术。</w:t>
            </w:r>
          </w:p>
        </w:tc>
        <w:tc>
          <w:tcPr>
            <w:tcW w:w="1781"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spacing w:val="0"/>
                <w:sz w:val="20"/>
              </w:rPr>
            </w:pPr>
            <w:r>
              <w:rPr>
                <w:rFonts w:hint="eastAsia"/>
                <w:spacing w:val="0"/>
                <w:sz w:val="20"/>
              </w:rPr>
              <w:t>（一）涉锅炉/炉窑要求：</w:t>
            </w:r>
          </w:p>
          <w:p>
            <w:pPr>
              <w:overflowPunct w:val="0"/>
              <w:topLinePunct/>
              <w:spacing w:line="280" w:lineRule="exact"/>
              <w:rPr>
                <w:rFonts w:hint="eastAsia" w:eastAsia="仿宋_GB2312"/>
                <w:spacing w:val="0"/>
                <w:sz w:val="20"/>
                <w:lang w:eastAsia="zh-CN"/>
              </w:rPr>
            </w:pPr>
            <w:r>
              <w:rPr>
                <w:rFonts w:hint="eastAsia"/>
                <w:spacing w:val="0"/>
                <w:sz w:val="20"/>
              </w:rPr>
              <w:t>1、电窑</w:t>
            </w:r>
            <w:r>
              <w:rPr>
                <w:rFonts w:hint="eastAsia"/>
                <w:spacing w:val="0"/>
                <w:sz w:val="20"/>
                <w:lang w:eastAsia="zh-CN"/>
              </w:rPr>
              <w:t>：同</w:t>
            </w:r>
            <w:r>
              <w:rPr>
                <w:rFonts w:hint="eastAsia"/>
                <w:spacing w:val="0"/>
                <w:sz w:val="20"/>
              </w:rPr>
              <w:t>A级</w:t>
            </w:r>
            <w:r>
              <w:rPr>
                <w:rFonts w:hint="eastAsia"/>
                <w:spacing w:val="0"/>
                <w:sz w:val="20"/>
                <w:lang w:eastAsia="zh-CN"/>
              </w:rPr>
              <w:t>第</w:t>
            </w:r>
            <w:r>
              <w:rPr>
                <w:rFonts w:hint="eastAsia"/>
                <w:spacing w:val="0"/>
                <w:sz w:val="20"/>
                <w:lang w:val="en-US" w:eastAsia="zh-CN"/>
              </w:rPr>
              <w:t>1条</w:t>
            </w:r>
            <w:r>
              <w:rPr>
                <w:rFonts w:hint="eastAsia"/>
                <w:spacing w:val="0"/>
                <w:sz w:val="20"/>
              </w:rPr>
              <w:t>要求。</w:t>
            </w:r>
          </w:p>
          <w:p>
            <w:pPr>
              <w:overflowPunct w:val="0"/>
              <w:topLinePunct/>
              <w:spacing w:line="280" w:lineRule="exact"/>
            </w:pPr>
            <w:r>
              <w:rPr>
                <w:rFonts w:hint="eastAsia"/>
                <w:spacing w:val="0"/>
                <w:sz w:val="20"/>
                <w:lang w:val="en-US" w:eastAsia="zh-CN"/>
              </w:rPr>
              <w:t>2、</w:t>
            </w:r>
            <w:r>
              <w:rPr>
                <w:rFonts w:hint="eastAsia"/>
                <w:spacing w:val="0"/>
                <w:sz w:val="20"/>
              </w:rPr>
              <w:t>燃气锅炉/炉窑：</w:t>
            </w:r>
            <w:r>
              <w:rPr>
                <w:rFonts w:hint="eastAsia"/>
                <w:spacing w:val="0"/>
                <w:sz w:val="20"/>
                <w:lang w:eastAsia="zh-CN"/>
              </w:rPr>
              <w:t>同</w:t>
            </w:r>
            <w:r>
              <w:rPr>
                <w:rFonts w:hint="eastAsia"/>
                <w:spacing w:val="0"/>
                <w:sz w:val="20"/>
              </w:rPr>
              <w:t>A级</w:t>
            </w:r>
            <w:r>
              <w:rPr>
                <w:rFonts w:hint="eastAsia"/>
                <w:spacing w:val="0"/>
                <w:sz w:val="20"/>
                <w:lang w:eastAsia="zh-CN"/>
              </w:rPr>
              <w:t>第</w:t>
            </w:r>
            <w:r>
              <w:rPr>
                <w:rFonts w:hint="eastAsia"/>
                <w:spacing w:val="0"/>
                <w:sz w:val="20"/>
                <w:lang w:val="en-US" w:eastAsia="zh-CN"/>
              </w:rPr>
              <w:t>2条</w:t>
            </w:r>
            <w:r>
              <w:rPr>
                <w:rFonts w:hint="eastAsia"/>
                <w:spacing w:val="0"/>
                <w:sz w:val="20"/>
              </w:rPr>
              <w:t>要求。</w:t>
            </w:r>
          </w:p>
          <w:p>
            <w:pPr>
              <w:overflowPunct w:val="0"/>
              <w:topLinePunct/>
              <w:spacing w:line="280" w:lineRule="exact"/>
              <w:rPr>
                <w:spacing w:val="0"/>
                <w:sz w:val="20"/>
              </w:rPr>
            </w:pPr>
            <w:r>
              <w:rPr>
                <w:rFonts w:hint="eastAsia"/>
                <w:spacing w:val="0"/>
                <w:sz w:val="20"/>
                <w:lang w:val="en-US" w:eastAsia="zh-CN"/>
              </w:rPr>
              <w:t>3、</w:t>
            </w:r>
            <w:r>
              <w:rPr>
                <w:rFonts w:hint="eastAsia"/>
                <w:spacing w:val="0"/>
                <w:sz w:val="20"/>
              </w:rPr>
              <w:t>燃煤/生物质/燃油等锅炉/炉窑：</w:t>
            </w:r>
          </w:p>
          <w:p>
            <w:pPr>
              <w:overflowPunct w:val="0"/>
              <w:topLinePunct/>
              <w:spacing w:line="280" w:lineRule="exact"/>
              <w:rPr>
                <w:spacing w:val="0"/>
                <w:sz w:val="20"/>
              </w:rPr>
            </w:pPr>
            <w:r>
              <w:rPr>
                <w:rFonts w:hint="eastAsia"/>
                <w:spacing w:val="0"/>
                <w:sz w:val="20"/>
              </w:rPr>
              <w:t>（1）PM采用袋式除尘、滤筒除尘、电袋复合除尘、湿电除尘、四电场及以上静电除尘等高效除尘技术。</w:t>
            </w:r>
          </w:p>
          <w:p>
            <w:pPr>
              <w:overflowPunct w:val="0"/>
              <w:topLinePunct/>
              <w:spacing w:line="280" w:lineRule="exact"/>
              <w:rPr>
                <w:spacing w:val="0"/>
                <w:sz w:val="20"/>
              </w:rPr>
            </w:pPr>
            <w:r>
              <w:rPr>
                <w:rFonts w:hint="eastAsia"/>
                <w:spacing w:val="0"/>
                <w:sz w:val="20"/>
              </w:rPr>
              <w:t>（2）SO</w:t>
            </w:r>
            <w:r>
              <w:rPr>
                <w:rFonts w:hint="eastAsia"/>
                <w:spacing w:val="0"/>
                <w:sz w:val="20"/>
                <w:vertAlign w:val="subscript"/>
              </w:rPr>
              <w:t>2</w:t>
            </w:r>
            <w:r>
              <w:rPr>
                <w:rFonts w:hint="eastAsia"/>
                <w:spacing w:val="0"/>
                <w:sz w:val="20"/>
                <w:vertAlign w:val="superscript"/>
              </w:rPr>
              <w:t>【3】</w:t>
            </w:r>
            <w:r>
              <w:rPr>
                <w:rFonts w:hint="eastAsia"/>
                <w:spacing w:val="0"/>
                <w:sz w:val="20"/>
              </w:rPr>
              <w:t>采用石灰/石-石膏、氨法、钠碱法、双碱法等湿法、干法和半干法</w:t>
            </w:r>
            <w:r>
              <w:rPr>
                <w:rFonts w:hint="eastAsia"/>
                <w:spacing w:val="0"/>
                <w:sz w:val="20"/>
                <w:lang w:eastAsia="zh-CN"/>
              </w:rPr>
              <w:t>脱硫</w:t>
            </w:r>
            <w:r>
              <w:rPr>
                <w:rFonts w:hint="eastAsia"/>
                <w:spacing w:val="0"/>
                <w:sz w:val="20"/>
              </w:rPr>
              <w:t>（设计效率不低于85%）。</w:t>
            </w:r>
          </w:p>
          <w:p>
            <w:pPr>
              <w:overflowPunct w:val="0"/>
              <w:topLinePunct/>
              <w:spacing w:line="280" w:lineRule="exact"/>
              <w:rPr>
                <w:spacing w:val="0"/>
                <w:sz w:val="20"/>
              </w:rPr>
            </w:pPr>
            <w:r>
              <w:rPr>
                <w:rFonts w:hint="eastAsia"/>
                <w:spacing w:val="0"/>
                <w:sz w:val="20"/>
              </w:rPr>
              <w:t>（3）NO</w:t>
            </w:r>
            <w:r>
              <w:rPr>
                <w:rFonts w:hint="eastAsia"/>
                <w:i/>
                <w:iCs/>
                <w:spacing w:val="0"/>
                <w:sz w:val="20"/>
                <w:vertAlign w:val="subscript"/>
              </w:rPr>
              <w:t>x</w:t>
            </w:r>
            <w:r>
              <w:rPr>
                <w:rFonts w:hint="eastAsia"/>
                <w:spacing w:val="0"/>
                <w:sz w:val="20"/>
              </w:rPr>
              <w:t>采用低氮燃烧、SNCR/SCR等技术。</w:t>
            </w:r>
          </w:p>
        </w:tc>
        <w:tc>
          <w:tcPr>
            <w:tcW w:w="70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0" w:hRule="atLeast"/>
        </w:trPr>
        <w:tc>
          <w:tcPr>
            <w:tcW w:w="808" w:type="pct"/>
            <w:vMerge w:val="continue"/>
            <w:tcBorders>
              <w:left w:val="single" w:color="auto" w:sz="4" w:space="0"/>
              <w:bottom w:val="single" w:color="auto" w:sz="4" w:space="0"/>
              <w:right w:val="single" w:color="auto" w:sz="4" w:space="0"/>
            </w:tcBorders>
            <w:vAlign w:val="center"/>
          </w:tcPr>
          <w:p>
            <w:pPr>
              <w:overflowPunct w:val="0"/>
              <w:topLinePunct/>
              <w:spacing w:line="280" w:lineRule="exact"/>
              <w:jc w:val="center"/>
              <w:rPr>
                <w:rFonts w:hint="eastAsia" w:eastAsia="黑体"/>
                <w:kern w:val="0"/>
                <w:sz w:val="20"/>
              </w:rPr>
            </w:pPr>
          </w:p>
        </w:tc>
        <w:tc>
          <w:tcPr>
            <w:tcW w:w="170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spacing w:val="0"/>
                <w:sz w:val="20"/>
              </w:rPr>
            </w:pPr>
            <w:r>
              <w:rPr>
                <w:rFonts w:hint="eastAsia"/>
                <w:spacing w:val="0"/>
                <w:sz w:val="20"/>
              </w:rPr>
              <w:t>（二）其他工序（非锅炉/炉窑）：</w:t>
            </w:r>
          </w:p>
          <w:p>
            <w:pPr>
              <w:overflowPunct w:val="0"/>
              <w:topLinePunct/>
              <w:spacing w:line="280" w:lineRule="exact"/>
              <w:rPr>
                <w:spacing w:val="0"/>
                <w:sz w:val="20"/>
              </w:rPr>
            </w:pPr>
            <w:r>
              <w:rPr>
                <w:rFonts w:hint="eastAsia"/>
                <w:spacing w:val="0"/>
                <w:sz w:val="20"/>
              </w:rPr>
              <w:t>1、PM采用覆膜袋式除尘或其他先进除尘工艺。</w:t>
            </w:r>
          </w:p>
          <w:p>
            <w:pPr>
              <w:overflowPunct w:val="0"/>
              <w:topLinePunct/>
              <w:spacing w:line="280" w:lineRule="exact"/>
              <w:rPr>
                <w:rFonts w:hint="eastAsia"/>
                <w:sz w:val="20"/>
              </w:rPr>
            </w:pPr>
            <w:r>
              <w:rPr>
                <w:rFonts w:hint="eastAsia"/>
                <w:sz w:val="20"/>
              </w:rPr>
              <w:t>2、VOCs废气采用燃烧、吸附等治理技术。</w:t>
            </w:r>
          </w:p>
        </w:tc>
        <w:tc>
          <w:tcPr>
            <w:tcW w:w="1781"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spacing w:val="0"/>
                <w:sz w:val="20"/>
              </w:rPr>
            </w:pPr>
            <w:r>
              <w:rPr>
                <w:rFonts w:hint="eastAsia"/>
                <w:spacing w:val="0"/>
                <w:sz w:val="20"/>
              </w:rPr>
              <w:t>（二）其他工序（非锅炉/炉窑）：</w:t>
            </w:r>
          </w:p>
          <w:p>
            <w:pPr>
              <w:overflowPunct w:val="0"/>
              <w:topLinePunct/>
              <w:spacing w:line="280" w:lineRule="exact"/>
              <w:rPr>
                <w:spacing w:val="0"/>
                <w:sz w:val="20"/>
              </w:rPr>
            </w:pPr>
            <w:r>
              <w:rPr>
                <w:rFonts w:hint="eastAsia"/>
                <w:spacing w:val="0"/>
                <w:sz w:val="20"/>
              </w:rPr>
              <w:t>1、PM采用袋式除尘或其他先进除尘工艺。</w:t>
            </w:r>
          </w:p>
          <w:p>
            <w:pPr>
              <w:overflowPunct w:val="0"/>
              <w:topLinePunct/>
              <w:spacing w:line="280" w:lineRule="exact"/>
              <w:rPr>
                <w:rFonts w:hint="eastAsia"/>
                <w:spacing w:val="0"/>
                <w:sz w:val="20"/>
              </w:rPr>
            </w:pPr>
            <w:r>
              <w:rPr>
                <w:rFonts w:hint="eastAsia"/>
                <w:spacing w:val="0"/>
                <w:sz w:val="20"/>
              </w:rPr>
              <w:t>2、</w:t>
            </w:r>
            <w:r>
              <w:rPr>
                <w:rFonts w:hint="eastAsia"/>
                <w:spacing w:val="0"/>
                <w:sz w:val="20"/>
                <w:lang w:eastAsia="zh-CN"/>
              </w:rPr>
              <w:t>同</w:t>
            </w:r>
            <w:r>
              <w:rPr>
                <w:rFonts w:hint="eastAsia"/>
                <w:spacing w:val="0"/>
                <w:sz w:val="20"/>
                <w:lang w:val="en-US" w:eastAsia="zh-CN"/>
              </w:rPr>
              <w:t>A级第2条要求</w:t>
            </w:r>
            <w:r>
              <w:rPr>
                <w:rFonts w:hint="eastAsia"/>
                <w:spacing w:val="0"/>
                <w:sz w:val="20"/>
              </w:rPr>
              <w:t>。</w:t>
            </w:r>
          </w:p>
        </w:tc>
        <w:tc>
          <w:tcPr>
            <w:tcW w:w="70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rFonts w:hint="eastAsia" w:eastAsia="仿宋_GB2312"/>
                <w:kern w:val="0"/>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808" w:type="pct"/>
            <w:vMerge w:val="restart"/>
            <w:tcBorders>
              <w:top w:val="single" w:color="auto" w:sz="4" w:space="0"/>
              <w:left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排放限值</w:t>
            </w:r>
          </w:p>
        </w:tc>
        <w:tc>
          <w:tcPr>
            <w:tcW w:w="170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（一）锅炉：</w:t>
            </w:r>
          </w:p>
          <w:p>
            <w:pPr>
              <w:overflowPunct w:val="0"/>
              <w:topLinePunct/>
              <w:spacing w:line="280" w:lineRule="exact"/>
              <w:rPr>
                <w:rFonts w:hint="eastAsia"/>
                <w:spacing w:val="0"/>
                <w:sz w:val="20"/>
              </w:rPr>
            </w:pPr>
            <w:r>
              <w:rPr>
                <w:rFonts w:hint="eastAsia"/>
                <w:spacing w:val="0"/>
                <w:sz w:val="20"/>
              </w:rPr>
              <w:t>1、PM、SO</w:t>
            </w:r>
            <w:r>
              <w:rPr>
                <w:rFonts w:hint="eastAsia"/>
                <w:spacing w:val="0"/>
                <w:sz w:val="20"/>
                <w:vertAlign w:val="subscript"/>
              </w:rPr>
              <w:t>2</w:t>
            </w:r>
            <w:r>
              <w:rPr>
                <w:rFonts w:hint="eastAsia"/>
                <w:spacing w:val="0"/>
                <w:sz w:val="20"/>
              </w:rPr>
              <w:t>、NO</w:t>
            </w:r>
            <w:r>
              <w:rPr>
                <w:rFonts w:hint="eastAsia"/>
                <w:i/>
                <w:iCs/>
                <w:spacing w:val="0"/>
                <w:sz w:val="20"/>
                <w:vertAlign w:val="subscript"/>
              </w:rPr>
              <w:t>x</w:t>
            </w:r>
            <w:r>
              <w:rPr>
                <w:rFonts w:hint="eastAsia"/>
                <w:spacing w:val="0"/>
                <w:sz w:val="20"/>
              </w:rPr>
              <w:t>排放浓度分别不高于：</w:t>
            </w:r>
          </w:p>
          <w:p>
            <w:pPr>
              <w:overflowPunct w:val="0"/>
              <w:topLinePunct/>
              <w:spacing w:line="280" w:lineRule="exact"/>
              <w:rPr>
                <w:spacing w:val="0"/>
                <w:sz w:val="20"/>
              </w:rPr>
            </w:pPr>
            <w:r>
              <w:rPr>
                <w:rFonts w:hint="eastAsia"/>
                <w:spacing w:val="0"/>
                <w:sz w:val="20"/>
              </w:rPr>
              <w:t>燃气：5、10、30</w:t>
            </w:r>
            <w:r>
              <w:rPr>
                <w:rFonts w:hint="eastAsia"/>
                <w:spacing w:val="0"/>
                <w:sz w:val="20"/>
                <w:lang w:val="en-US" w:eastAsia="zh-CN"/>
              </w:rPr>
              <w:t xml:space="preserve"> </w:t>
            </w:r>
            <w:r>
              <w:rPr>
                <w:rFonts w:hint="eastAsia"/>
                <w:spacing w:val="0"/>
                <w:sz w:val="20"/>
              </w:rPr>
              <w:t>mg/m</w:t>
            </w:r>
            <w:r>
              <w:rPr>
                <w:rFonts w:hint="eastAsia"/>
                <w:spacing w:val="0"/>
                <w:sz w:val="20"/>
                <w:vertAlign w:val="superscript"/>
              </w:rPr>
              <w:t>3</w:t>
            </w:r>
            <w:r>
              <w:rPr>
                <w:rFonts w:hint="eastAsia"/>
                <w:spacing w:val="0"/>
                <w:sz w:val="20"/>
              </w:rPr>
              <w:t>（基准含氧量：3.5%）。</w:t>
            </w:r>
          </w:p>
          <w:p>
            <w:pPr>
              <w:overflowPunct w:val="0"/>
              <w:topLinePunct/>
              <w:spacing w:line="280" w:lineRule="exact"/>
              <w:rPr>
                <w:kern w:val="0"/>
                <w:sz w:val="20"/>
              </w:rPr>
            </w:pPr>
            <w:r>
              <w:rPr>
                <w:rFonts w:hint="eastAsia"/>
                <w:spacing w:val="0"/>
                <w:sz w:val="20"/>
              </w:rPr>
              <w:t>2、氨逃逸排放浓度不高于8mg/m</w:t>
            </w:r>
            <w:r>
              <w:rPr>
                <w:rFonts w:hint="eastAsia"/>
                <w:spacing w:val="0"/>
                <w:sz w:val="20"/>
                <w:vertAlign w:val="superscript"/>
              </w:rPr>
              <w:t>3</w:t>
            </w:r>
            <w:r>
              <w:rPr>
                <w:rFonts w:hint="eastAsia"/>
                <w:spacing w:val="0"/>
                <w:sz w:val="20"/>
              </w:rPr>
              <w:t>（使用氨水、尿素作还原剂）。</w:t>
            </w:r>
          </w:p>
        </w:tc>
        <w:tc>
          <w:tcPr>
            <w:tcW w:w="1781"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（一）锅炉：</w:t>
            </w:r>
          </w:p>
          <w:p>
            <w:pPr>
              <w:overflowPunct w:val="0"/>
              <w:topLinePunct/>
              <w:spacing w:line="280" w:lineRule="exact"/>
              <w:rPr>
                <w:spacing w:val="0"/>
                <w:sz w:val="20"/>
              </w:rPr>
            </w:pPr>
            <w:r>
              <w:rPr>
                <w:rFonts w:hint="eastAsia"/>
                <w:spacing w:val="0"/>
                <w:sz w:val="20"/>
              </w:rPr>
              <w:t>1、PM、SO</w:t>
            </w:r>
            <w:r>
              <w:rPr>
                <w:rFonts w:hint="eastAsia"/>
                <w:spacing w:val="0"/>
                <w:sz w:val="20"/>
                <w:vertAlign w:val="subscript"/>
              </w:rPr>
              <w:t>2</w:t>
            </w:r>
            <w:r>
              <w:rPr>
                <w:rFonts w:hint="eastAsia"/>
                <w:spacing w:val="0"/>
                <w:sz w:val="20"/>
              </w:rPr>
              <w:t>、NO</w:t>
            </w:r>
            <w:r>
              <w:rPr>
                <w:rFonts w:hint="eastAsia"/>
                <w:i/>
                <w:iCs/>
                <w:spacing w:val="0"/>
                <w:sz w:val="20"/>
                <w:vertAlign w:val="subscript"/>
              </w:rPr>
              <w:t>x</w:t>
            </w:r>
            <w:r>
              <w:rPr>
                <w:rFonts w:hint="eastAsia"/>
                <w:spacing w:val="0"/>
                <w:sz w:val="20"/>
              </w:rPr>
              <w:t>排放浓度分别不高于：</w:t>
            </w:r>
          </w:p>
          <w:p>
            <w:pPr>
              <w:overflowPunct w:val="0"/>
              <w:topLinePunct/>
              <w:spacing w:line="280" w:lineRule="exact"/>
              <w:rPr>
                <w:spacing w:val="0"/>
                <w:sz w:val="20"/>
              </w:rPr>
            </w:pPr>
            <w:r>
              <w:rPr>
                <w:rFonts w:hint="eastAsia"/>
                <w:spacing w:val="0"/>
                <w:sz w:val="20"/>
              </w:rPr>
              <w:t>燃煤/</w:t>
            </w:r>
            <w:r>
              <w:rPr>
                <w:rFonts w:hint="eastAsia"/>
                <w:spacing w:val="0"/>
                <w:sz w:val="20"/>
                <w:lang w:eastAsia="zh-CN"/>
              </w:rPr>
              <w:t>燃</w:t>
            </w:r>
            <w:r>
              <w:rPr>
                <w:rFonts w:hint="eastAsia"/>
                <w:spacing w:val="0"/>
                <w:sz w:val="20"/>
              </w:rPr>
              <w:t>生物质</w:t>
            </w:r>
            <w:r>
              <w:rPr>
                <w:rFonts w:hint="eastAsia" w:eastAsia="黑体"/>
                <w:spacing w:val="0"/>
                <w:sz w:val="20"/>
                <w:vertAlign w:val="superscript"/>
              </w:rPr>
              <w:t>【</w:t>
            </w:r>
            <w:r>
              <w:rPr>
                <w:rFonts w:hint="eastAsia" w:eastAsia="黑体"/>
                <w:spacing w:val="0"/>
                <w:sz w:val="20"/>
                <w:vertAlign w:val="superscript"/>
                <w:lang w:val="en-US" w:eastAsia="zh-CN"/>
              </w:rPr>
              <w:t>4</w:t>
            </w:r>
            <w:r>
              <w:rPr>
                <w:rFonts w:hint="eastAsia" w:eastAsia="黑体"/>
                <w:spacing w:val="0"/>
                <w:sz w:val="20"/>
                <w:vertAlign w:val="superscript"/>
              </w:rPr>
              <w:t>】</w:t>
            </w:r>
            <w:r>
              <w:rPr>
                <w:rFonts w:hint="eastAsia"/>
                <w:spacing w:val="0"/>
                <w:sz w:val="20"/>
              </w:rPr>
              <w:t>：10、35、50</w:t>
            </w:r>
            <w:r>
              <w:rPr>
                <w:rFonts w:hint="eastAsia"/>
                <w:spacing w:val="0"/>
                <w:sz w:val="20"/>
                <w:lang w:val="en-US" w:eastAsia="zh-CN"/>
              </w:rPr>
              <w:t xml:space="preserve"> </w:t>
            </w:r>
            <w:r>
              <w:rPr>
                <w:rFonts w:hint="eastAsia"/>
                <w:spacing w:val="0"/>
                <w:sz w:val="20"/>
              </w:rPr>
              <w:t>mg/m</w:t>
            </w:r>
            <w:r>
              <w:rPr>
                <w:rFonts w:hint="eastAsia"/>
                <w:spacing w:val="0"/>
                <w:sz w:val="20"/>
                <w:vertAlign w:val="superscript"/>
              </w:rPr>
              <w:t>3</w:t>
            </w:r>
            <w:r>
              <w:rPr>
                <w:rFonts w:hint="eastAsia"/>
                <w:spacing w:val="0"/>
                <w:sz w:val="20"/>
              </w:rPr>
              <w:t>；</w:t>
            </w:r>
          </w:p>
          <w:p>
            <w:pPr>
              <w:overflowPunct w:val="0"/>
              <w:topLinePunct/>
              <w:spacing w:line="280" w:lineRule="exact"/>
              <w:rPr>
                <w:rFonts w:hint="default" w:eastAsia="仿宋_GB2312"/>
                <w:spacing w:val="0"/>
                <w:sz w:val="20"/>
                <w:lang w:val="en-US" w:eastAsia="zh-CN"/>
              </w:rPr>
            </w:pPr>
            <w:r>
              <w:rPr>
                <w:rFonts w:hint="eastAsia"/>
                <w:spacing w:val="0"/>
                <w:sz w:val="20"/>
                <w:lang w:eastAsia="zh-CN"/>
              </w:rPr>
              <w:t>燃油：</w:t>
            </w:r>
            <w:r>
              <w:rPr>
                <w:rFonts w:hint="eastAsia"/>
                <w:spacing w:val="0"/>
                <w:sz w:val="20"/>
                <w:lang w:val="en-US" w:eastAsia="zh-CN"/>
              </w:rPr>
              <w:t xml:space="preserve">10、20、80 </w:t>
            </w:r>
            <w:r>
              <w:rPr>
                <w:rFonts w:hint="eastAsia"/>
                <w:spacing w:val="0"/>
                <w:sz w:val="20"/>
              </w:rPr>
              <w:t>mg/m</w:t>
            </w:r>
            <w:r>
              <w:rPr>
                <w:rFonts w:hint="eastAsia"/>
                <w:spacing w:val="0"/>
                <w:sz w:val="20"/>
                <w:vertAlign w:val="superscript"/>
              </w:rPr>
              <w:t>3</w:t>
            </w:r>
            <w:r>
              <w:rPr>
                <w:rFonts w:hint="eastAsia"/>
                <w:spacing w:val="0"/>
                <w:sz w:val="20"/>
              </w:rPr>
              <w:t>；</w:t>
            </w:r>
          </w:p>
          <w:p>
            <w:pPr>
              <w:overflowPunct w:val="0"/>
              <w:topLinePunct/>
              <w:spacing w:line="280" w:lineRule="exact"/>
              <w:rPr>
                <w:rFonts w:hint="eastAsia"/>
                <w:spacing w:val="0"/>
                <w:sz w:val="20"/>
                <w:lang w:eastAsia="zh-CN"/>
              </w:rPr>
            </w:pPr>
            <w:r>
              <w:rPr>
                <w:rFonts w:hint="eastAsia"/>
                <w:spacing w:val="0"/>
                <w:sz w:val="20"/>
              </w:rPr>
              <w:t>燃气：5、10、</w:t>
            </w:r>
            <w:r>
              <w:rPr>
                <w:rFonts w:hint="eastAsia"/>
                <w:spacing w:val="0"/>
                <w:sz w:val="20"/>
                <w:lang w:val="en-US" w:eastAsia="zh-CN"/>
              </w:rPr>
              <w:t>5</w:t>
            </w:r>
            <w:r>
              <w:rPr>
                <w:rFonts w:hint="eastAsia"/>
                <w:spacing w:val="0"/>
                <w:sz w:val="20"/>
              </w:rPr>
              <w:t>0</w:t>
            </w:r>
            <w:r>
              <w:rPr>
                <w:rFonts w:hint="eastAsia"/>
                <w:spacing w:val="0"/>
                <w:sz w:val="20"/>
                <w:lang w:val="en-US" w:eastAsia="zh-CN"/>
              </w:rPr>
              <w:t xml:space="preserve"> </w:t>
            </w:r>
            <w:r>
              <w:rPr>
                <w:rFonts w:hint="eastAsia"/>
                <w:spacing w:val="0"/>
                <w:sz w:val="20"/>
              </w:rPr>
              <w:t>mg/m</w:t>
            </w:r>
            <w:r>
              <w:rPr>
                <w:rFonts w:hint="eastAsia"/>
                <w:spacing w:val="0"/>
                <w:sz w:val="20"/>
                <w:vertAlign w:val="superscript"/>
              </w:rPr>
              <w:t>3</w:t>
            </w:r>
            <w:r>
              <w:rPr>
                <w:rFonts w:hint="eastAsia"/>
                <w:spacing w:val="0"/>
                <w:sz w:val="20"/>
                <w:lang w:eastAsia="zh-CN"/>
              </w:rPr>
              <w:t>（</w:t>
            </w:r>
            <w:r>
              <w:rPr>
                <w:rFonts w:hint="eastAsia"/>
                <w:kern w:val="0"/>
                <w:sz w:val="20"/>
                <w:lang w:eastAsia="zh-CN"/>
              </w:rPr>
              <w:t>高污染燃料禁燃区内</w:t>
            </w:r>
            <w:r>
              <w:rPr>
                <w:rFonts w:hint="eastAsia"/>
                <w:kern w:val="0"/>
                <w:sz w:val="20"/>
                <w:lang w:val="en-US" w:eastAsia="zh-CN"/>
              </w:rPr>
              <w:t>NO</w:t>
            </w:r>
            <w:r>
              <w:rPr>
                <w:rFonts w:hint="eastAsia"/>
                <w:i/>
                <w:iCs/>
                <w:kern w:val="0"/>
                <w:sz w:val="20"/>
                <w:vertAlign w:val="subscript"/>
                <w:lang w:val="en-US" w:eastAsia="zh-CN"/>
              </w:rPr>
              <w:t>x</w:t>
            </w:r>
            <w:r>
              <w:rPr>
                <w:rFonts w:hint="eastAsia"/>
                <w:kern w:val="0"/>
                <w:sz w:val="20"/>
                <w:lang w:val="en-US" w:eastAsia="zh-CN"/>
              </w:rPr>
              <w:t xml:space="preserve">执行30 </w:t>
            </w:r>
            <w:r>
              <w:rPr>
                <w:rFonts w:hint="eastAsia"/>
                <w:kern w:val="0"/>
                <w:sz w:val="20"/>
              </w:rPr>
              <w:t>mg/m</w:t>
            </w:r>
            <w:r>
              <w:rPr>
                <w:rFonts w:hint="eastAsia"/>
                <w:kern w:val="0"/>
                <w:sz w:val="20"/>
                <w:vertAlign w:val="superscript"/>
              </w:rPr>
              <w:t>3</w:t>
            </w:r>
            <w:r>
              <w:rPr>
                <w:rFonts w:hint="eastAsia"/>
                <w:spacing w:val="0"/>
                <w:sz w:val="20"/>
                <w:lang w:eastAsia="zh-CN"/>
              </w:rPr>
              <w:t>）</w:t>
            </w:r>
            <w:r>
              <w:rPr>
                <w:rFonts w:hint="eastAsia"/>
                <w:spacing w:val="0"/>
                <w:sz w:val="20"/>
              </w:rPr>
              <w:t>；</w:t>
            </w:r>
          </w:p>
          <w:p>
            <w:pPr>
              <w:overflowPunct w:val="0"/>
              <w:topLinePunct/>
              <w:spacing w:line="280" w:lineRule="exact"/>
              <w:rPr>
                <w:rFonts w:hint="eastAsia" w:eastAsia="仿宋_GB2312"/>
                <w:spacing w:val="0"/>
                <w:sz w:val="20"/>
                <w:lang w:eastAsia="zh-CN"/>
              </w:rPr>
            </w:pPr>
            <w:r>
              <w:rPr>
                <w:rFonts w:hint="eastAsia"/>
                <w:spacing w:val="0"/>
                <w:sz w:val="20"/>
              </w:rPr>
              <w:t>（基准含氧量：燃煤/</w:t>
            </w:r>
            <w:r>
              <w:rPr>
                <w:rFonts w:hint="eastAsia"/>
                <w:spacing w:val="0"/>
                <w:sz w:val="20"/>
                <w:lang w:eastAsia="zh-CN"/>
              </w:rPr>
              <w:t>燃</w:t>
            </w:r>
            <w:r>
              <w:rPr>
                <w:rFonts w:hint="eastAsia"/>
                <w:spacing w:val="0"/>
                <w:sz w:val="20"/>
              </w:rPr>
              <w:t>生物质/燃油</w:t>
            </w:r>
            <w:r>
              <w:rPr>
                <w:rFonts w:hint="eastAsia"/>
                <w:spacing w:val="0"/>
                <w:sz w:val="20"/>
                <w:lang w:val="en-US" w:eastAsia="zh-CN"/>
              </w:rPr>
              <w:t>/燃气：</w:t>
            </w:r>
            <w:r>
              <w:rPr>
                <w:rFonts w:hint="eastAsia"/>
                <w:spacing w:val="0"/>
                <w:sz w:val="20"/>
              </w:rPr>
              <w:t>9%/9%</w:t>
            </w:r>
            <w:r>
              <w:rPr>
                <w:rFonts w:hint="eastAsia"/>
                <w:spacing w:val="0"/>
                <w:sz w:val="20"/>
                <w:vertAlign w:val="superscript"/>
                <w:lang w:eastAsia="zh-CN"/>
              </w:rPr>
              <w:t>【</w:t>
            </w:r>
            <w:r>
              <w:rPr>
                <w:rFonts w:hint="eastAsia"/>
                <w:spacing w:val="0"/>
                <w:sz w:val="20"/>
                <w:vertAlign w:val="superscript"/>
                <w:lang w:val="en-US" w:eastAsia="zh-CN"/>
              </w:rPr>
              <w:t>4</w:t>
            </w:r>
            <w:r>
              <w:rPr>
                <w:rFonts w:hint="eastAsia"/>
                <w:spacing w:val="0"/>
                <w:sz w:val="20"/>
                <w:vertAlign w:val="superscript"/>
                <w:lang w:eastAsia="zh-CN"/>
              </w:rPr>
              <w:t>】</w:t>
            </w:r>
            <w:r>
              <w:rPr>
                <w:rFonts w:hint="eastAsia"/>
                <w:spacing w:val="0"/>
                <w:sz w:val="20"/>
              </w:rPr>
              <w:t>/3.5%3.5%）</w:t>
            </w:r>
            <w:r>
              <w:rPr>
                <w:rFonts w:hint="eastAsia"/>
                <w:spacing w:val="0"/>
                <w:sz w:val="20"/>
                <w:lang w:eastAsia="zh-CN"/>
              </w:rPr>
              <w:t>。</w:t>
            </w:r>
          </w:p>
          <w:p>
            <w:pPr>
              <w:overflowPunct w:val="0"/>
              <w:topLinePunct/>
              <w:spacing w:line="280" w:lineRule="exact"/>
              <w:rPr>
                <w:kern w:val="0"/>
                <w:sz w:val="20"/>
              </w:rPr>
            </w:pPr>
            <w:r>
              <w:rPr>
                <w:rFonts w:hint="eastAsia"/>
                <w:spacing w:val="0"/>
                <w:sz w:val="20"/>
                <w:lang w:val="en-US" w:eastAsia="zh-CN"/>
              </w:rPr>
              <w:t>2、</w:t>
            </w:r>
            <w:r>
              <w:rPr>
                <w:rFonts w:hint="eastAsia"/>
                <w:spacing w:val="0"/>
                <w:sz w:val="20"/>
              </w:rPr>
              <w:t>氨逃逸排放浓度不高于8mg/m</w:t>
            </w:r>
            <w:r>
              <w:rPr>
                <w:rFonts w:hint="eastAsia"/>
                <w:spacing w:val="0"/>
                <w:sz w:val="20"/>
                <w:vertAlign w:val="superscript"/>
              </w:rPr>
              <w:t>3</w:t>
            </w:r>
            <w:r>
              <w:rPr>
                <w:rFonts w:hint="eastAsia"/>
                <w:spacing w:val="0"/>
                <w:sz w:val="20"/>
              </w:rPr>
              <w:t>（使用氨水、尿素作还原剂）。</w:t>
            </w:r>
          </w:p>
        </w:tc>
        <w:tc>
          <w:tcPr>
            <w:tcW w:w="70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808" w:type="pct"/>
            <w:vMerge w:val="continue"/>
            <w:tcBorders>
              <w:left w:val="single" w:color="auto" w:sz="4" w:space="0"/>
              <w:right w:val="single" w:color="auto" w:sz="4" w:space="0"/>
            </w:tcBorders>
            <w:vAlign w:val="center"/>
          </w:tcPr>
          <w:p>
            <w:pPr>
              <w:overflowPunct w:val="0"/>
              <w:topLinePunct/>
              <w:spacing w:line="280" w:lineRule="exact"/>
              <w:jc w:val="center"/>
              <w:rPr>
                <w:rFonts w:eastAsia="黑体"/>
                <w:kern w:val="0"/>
                <w:sz w:val="20"/>
              </w:rPr>
            </w:pPr>
          </w:p>
        </w:tc>
        <w:tc>
          <w:tcPr>
            <w:tcW w:w="170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spacing w:val="0"/>
                <w:sz w:val="20"/>
              </w:rPr>
            </w:pPr>
            <w:r>
              <w:rPr>
                <w:rFonts w:hint="eastAsia"/>
                <w:spacing w:val="0"/>
                <w:sz w:val="20"/>
              </w:rPr>
              <w:t>（二）加热炉、热处理炉、干燥炉：</w:t>
            </w:r>
          </w:p>
          <w:p>
            <w:pPr>
              <w:overflowPunct w:val="0"/>
              <w:topLinePunct/>
              <w:spacing w:line="280" w:lineRule="exact"/>
              <w:rPr>
                <w:rFonts w:hint="eastAsia" w:eastAsia="仿宋_GB2312"/>
                <w:spacing w:val="0"/>
                <w:sz w:val="20"/>
                <w:lang w:eastAsia="zh-CN"/>
              </w:rPr>
            </w:pPr>
            <w:r>
              <w:rPr>
                <w:rFonts w:hint="eastAsia"/>
                <w:spacing w:val="0"/>
                <w:sz w:val="20"/>
                <w:lang w:val="en-US" w:eastAsia="zh-CN"/>
              </w:rPr>
              <w:t>1、</w:t>
            </w:r>
            <w:r>
              <w:rPr>
                <w:rFonts w:hint="eastAsia"/>
                <w:spacing w:val="0"/>
                <w:sz w:val="20"/>
              </w:rPr>
              <w:t>电窑：10 mg/m</w:t>
            </w:r>
            <w:r>
              <w:rPr>
                <w:rFonts w:hint="eastAsia"/>
                <w:spacing w:val="0"/>
                <w:sz w:val="20"/>
                <w:vertAlign w:val="superscript"/>
              </w:rPr>
              <w:t>3</w:t>
            </w:r>
            <w:r>
              <w:rPr>
                <w:rFonts w:hint="eastAsia"/>
                <w:spacing w:val="0"/>
                <w:sz w:val="20"/>
              </w:rPr>
              <w:t>（PM）</w:t>
            </w:r>
            <w:r>
              <w:rPr>
                <w:rFonts w:hint="eastAsia"/>
                <w:spacing w:val="0"/>
                <w:sz w:val="20"/>
                <w:lang w:eastAsia="zh-CN"/>
              </w:rPr>
              <w:t>。</w:t>
            </w:r>
          </w:p>
          <w:p>
            <w:pPr>
              <w:overflowPunct w:val="0"/>
              <w:topLinePunct/>
              <w:spacing w:line="280" w:lineRule="exact"/>
              <w:rPr>
                <w:spacing w:val="0"/>
                <w:sz w:val="20"/>
              </w:rPr>
            </w:pPr>
            <w:r>
              <w:rPr>
                <w:rFonts w:hint="eastAsia"/>
                <w:spacing w:val="0"/>
                <w:sz w:val="20"/>
                <w:lang w:val="en-US" w:eastAsia="zh-CN"/>
              </w:rPr>
              <w:t>2、</w:t>
            </w:r>
            <w:r>
              <w:rPr>
                <w:rFonts w:hint="eastAsia"/>
                <w:spacing w:val="0"/>
                <w:sz w:val="20"/>
              </w:rPr>
              <w:t>燃气：PM、SO</w:t>
            </w:r>
            <w:r>
              <w:rPr>
                <w:rFonts w:hint="eastAsia"/>
                <w:spacing w:val="0"/>
                <w:sz w:val="20"/>
                <w:vertAlign w:val="subscript"/>
              </w:rPr>
              <w:t>2</w:t>
            </w:r>
            <w:r>
              <w:rPr>
                <w:rFonts w:hint="eastAsia"/>
                <w:spacing w:val="0"/>
                <w:sz w:val="20"/>
              </w:rPr>
              <w:t>、NO</w:t>
            </w:r>
            <w:r>
              <w:rPr>
                <w:rFonts w:hint="eastAsia"/>
                <w:i/>
                <w:iCs/>
                <w:spacing w:val="0"/>
                <w:sz w:val="20"/>
                <w:vertAlign w:val="subscript"/>
              </w:rPr>
              <w:t>x</w:t>
            </w:r>
            <w:r>
              <w:rPr>
                <w:rFonts w:hint="eastAsia"/>
                <w:spacing w:val="0"/>
                <w:sz w:val="20"/>
              </w:rPr>
              <w:t>排放浓度分别不高于：</w:t>
            </w:r>
          </w:p>
          <w:p>
            <w:pPr>
              <w:overflowPunct w:val="0"/>
              <w:topLinePunct/>
              <w:spacing w:line="280" w:lineRule="exact"/>
              <w:rPr>
                <w:rFonts w:hint="eastAsia"/>
                <w:kern w:val="0"/>
                <w:sz w:val="20"/>
              </w:rPr>
            </w:pPr>
            <w:r>
              <w:rPr>
                <w:rFonts w:hint="eastAsia"/>
                <w:spacing w:val="0"/>
                <w:sz w:val="20"/>
              </w:rPr>
              <w:t>10、35、</w:t>
            </w:r>
            <w:r>
              <w:rPr>
                <w:rFonts w:hint="eastAsia"/>
                <w:spacing w:val="0"/>
                <w:sz w:val="20"/>
                <w:lang w:val="en-US" w:eastAsia="zh-CN"/>
              </w:rPr>
              <w:t>8</w:t>
            </w:r>
            <w:r>
              <w:rPr>
                <w:rFonts w:hint="eastAsia"/>
                <w:spacing w:val="0"/>
                <w:sz w:val="20"/>
              </w:rPr>
              <w:t>0mg/m</w:t>
            </w:r>
            <w:r>
              <w:rPr>
                <w:rFonts w:hint="eastAsia"/>
                <w:spacing w:val="0"/>
                <w:sz w:val="20"/>
                <w:vertAlign w:val="superscript"/>
              </w:rPr>
              <w:t>3</w:t>
            </w:r>
            <w:r>
              <w:rPr>
                <w:rFonts w:hint="eastAsia"/>
                <w:spacing w:val="0"/>
                <w:sz w:val="20"/>
              </w:rPr>
              <w:t>；（基准含氧量</w:t>
            </w:r>
            <w:r>
              <w:rPr>
                <w:rFonts w:hint="eastAsia"/>
                <w:spacing w:val="0"/>
                <w:sz w:val="20"/>
                <w:lang w:val="en-US" w:eastAsia="zh-CN"/>
              </w:rPr>
              <w:t>8</w:t>
            </w:r>
            <w:r>
              <w:rPr>
                <w:rFonts w:hint="eastAsia"/>
                <w:spacing w:val="0"/>
                <w:sz w:val="20"/>
              </w:rPr>
              <w:t>%</w:t>
            </w:r>
            <w:r>
              <w:rPr>
                <w:rFonts w:hint="eastAsia"/>
                <w:spacing w:val="0"/>
                <w:sz w:val="20"/>
                <w:lang w:eastAsia="zh-CN"/>
              </w:rPr>
              <w:t>，因工艺需要掺入空气</w:t>
            </w:r>
            <w:r>
              <w:rPr>
                <w:rFonts w:hint="eastAsia"/>
                <w:spacing w:val="0"/>
                <w:sz w:val="20"/>
                <w:lang w:val="en-US" w:eastAsia="zh-CN"/>
              </w:rPr>
              <w:t>/非密闭式生产的按实际浓度计</w:t>
            </w:r>
            <w:r>
              <w:rPr>
                <w:rFonts w:hint="eastAsia"/>
                <w:spacing w:val="0"/>
                <w:sz w:val="20"/>
              </w:rPr>
              <w:t>）。</w:t>
            </w:r>
          </w:p>
        </w:tc>
        <w:tc>
          <w:tcPr>
            <w:tcW w:w="1781"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spacing w:val="0"/>
                <w:sz w:val="20"/>
              </w:rPr>
            </w:pPr>
            <w:r>
              <w:rPr>
                <w:rFonts w:hint="eastAsia"/>
                <w:spacing w:val="0"/>
                <w:sz w:val="20"/>
              </w:rPr>
              <w:t>（二）加热炉、热处理炉、干燥炉：</w:t>
            </w:r>
          </w:p>
          <w:p>
            <w:pPr>
              <w:overflowPunct w:val="0"/>
              <w:topLinePunct/>
              <w:spacing w:line="280" w:lineRule="exact"/>
              <w:rPr>
                <w:rFonts w:hint="eastAsia" w:eastAsia="仿宋_GB2312"/>
                <w:spacing w:val="0"/>
                <w:sz w:val="20"/>
                <w:lang w:eastAsia="zh-CN"/>
              </w:rPr>
            </w:pPr>
            <w:r>
              <w:rPr>
                <w:rFonts w:hint="eastAsia"/>
                <w:spacing w:val="0"/>
                <w:sz w:val="20"/>
                <w:lang w:val="en-US" w:eastAsia="zh-CN"/>
              </w:rPr>
              <w:t>1、</w:t>
            </w:r>
            <w:r>
              <w:rPr>
                <w:rFonts w:hint="eastAsia"/>
                <w:spacing w:val="0"/>
                <w:sz w:val="20"/>
              </w:rPr>
              <w:t>电窑：10 mg/m</w:t>
            </w:r>
            <w:r>
              <w:rPr>
                <w:rFonts w:hint="eastAsia"/>
                <w:spacing w:val="0"/>
                <w:sz w:val="20"/>
                <w:vertAlign w:val="superscript"/>
              </w:rPr>
              <w:t>3</w:t>
            </w:r>
            <w:r>
              <w:rPr>
                <w:rFonts w:hint="eastAsia"/>
                <w:spacing w:val="0"/>
                <w:sz w:val="20"/>
              </w:rPr>
              <w:t>（PM）</w:t>
            </w:r>
            <w:r>
              <w:rPr>
                <w:rFonts w:hint="eastAsia"/>
                <w:spacing w:val="0"/>
                <w:sz w:val="20"/>
                <w:lang w:eastAsia="zh-CN"/>
              </w:rPr>
              <w:t>。</w:t>
            </w:r>
          </w:p>
          <w:p>
            <w:pPr>
              <w:overflowPunct w:val="0"/>
              <w:topLinePunct/>
              <w:spacing w:line="280" w:lineRule="exact"/>
              <w:rPr>
                <w:spacing w:val="0"/>
                <w:sz w:val="20"/>
              </w:rPr>
            </w:pPr>
            <w:r>
              <w:rPr>
                <w:rFonts w:hint="eastAsia"/>
                <w:spacing w:val="0"/>
                <w:sz w:val="20"/>
                <w:lang w:val="en-US" w:eastAsia="zh-CN"/>
              </w:rPr>
              <w:t>2、其他：</w:t>
            </w:r>
            <w:r>
              <w:rPr>
                <w:rFonts w:hint="eastAsia"/>
                <w:spacing w:val="0"/>
                <w:sz w:val="20"/>
              </w:rPr>
              <w:t>PM、SO</w:t>
            </w:r>
            <w:r>
              <w:rPr>
                <w:rFonts w:hint="eastAsia"/>
                <w:spacing w:val="0"/>
                <w:sz w:val="20"/>
                <w:vertAlign w:val="subscript"/>
              </w:rPr>
              <w:t>2</w:t>
            </w:r>
            <w:r>
              <w:rPr>
                <w:rFonts w:hint="eastAsia"/>
                <w:spacing w:val="0"/>
                <w:sz w:val="20"/>
              </w:rPr>
              <w:t>、NO</w:t>
            </w:r>
            <w:r>
              <w:rPr>
                <w:rFonts w:hint="eastAsia"/>
                <w:i/>
                <w:iCs/>
                <w:spacing w:val="0"/>
                <w:sz w:val="20"/>
                <w:vertAlign w:val="subscript"/>
              </w:rPr>
              <w:t>x</w:t>
            </w:r>
            <w:r>
              <w:rPr>
                <w:rFonts w:hint="eastAsia"/>
                <w:spacing w:val="0"/>
                <w:sz w:val="20"/>
              </w:rPr>
              <w:t>排放浓度分别不高于：</w:t>
            </w:r>
          </w:p>
          <w:p>
            <w:pPr>
              <w:overflowPunct w:val="0"/>
              <w:topLinePunct/>
              <w:spacing w:line="280" w:lineRule="exact"/>
              <w:rPr>
                <w:rFonts w:hint="eastAsia"/>
                <w:kern w:val="0"/>
                <w:sz w:val="20"/>
              </w:rPr>
            </w:pPr>
            <w:r>
              <w:rPr>
                <w:rFonts w:hint="eastAsia"/>
                <w:spacing w:val="0"/>
                <w:sz w:val="20"/>
              </w:rPr>
              <w:t>10、50、100</w:t>
            </w:r>
            <w:r>
              <w:rPr>
                <w:rFonts w:hint="eastAsia"/>
                <w:spacing w:val="0"/>
                <w:sz w:val="20"/>
                <w:lang w:val="en-US" w:eastAsia="zh-CN"/>
              </w:rPr>
              <w:t xml:space="preserve"> </w:t>
            </w:r>
            <w:r>
              <w:rPr>
                <w:rFonts w:hint="eastAsia"/>
                <w:spacing w:val="0"/>
                <w:sz w:val="20"/>
              </w:rPr>
              <w:t>mg/m</w:t>
            </w:r>
            <w:r>
              <w:rPr>
                <w:rFonts w:hint="eastAsia"/>
                <w:spacing w:val="0"/>
                <w:sz w:val="20"/>
                <w:vertAlign w:val="superscript"/>
              </w:rPr>
              <w:t>3</w:t>
            </w:r>
            <w:r>
              <w:rPr>
                <w:rFonts w:hint="eastAsia"/>
                <w:spacing w:val="0"/>
                <w:sz w:val="20"/>
              </w:rPr>
              <w:t>；（基准含氧量：</w:t>
            </w:r>
            <w:r>
              <w:rPr>
                <w:rFonts w:hint="eastAsia"/>
                <w:spacing w:val="0"/>
                <w:sz w:val="20"/>
                <w:lang w:eastAsia="zh-CN"/>
              </w:rPr>
              <w:t>燃气</w:t>
            </w:r>
            <w:r>
              <w:rPr>
                <w:rFonts w:hint="eastAsia"/>
                <w:spacing w:val="0"/>
                <w:sz w:val="20"/>
              </w:rPr>
              <w:t>/燃煤</w:t>
            </w:r>
            <w:r>
              <w:rPr>
                <w:rFonts w:hint="eastAsia"/>
                <w:spacing w:val="0"/>
                <w:sz w:val="20"/>
                <w:lang w:val="en-US" w:eastAsia="zh-CN"/>
              </w:rPr>
              <w:t>/</w:t>
            </w:r>
            <w:r>
              <w:rPr>
                <w:rFonts w:hint="eastAsia"/>
                <w:spacing w:val="0"/>
                <w:sz w:val="20"/>
              </w:rPr>
              <w:t>燃油</w:t>
            </w:r>
            <w:r>
              <w:rPr>
                <w:rFonts w:hint="eastAsia"/>
                <w:spacing w:val="0"/>
                <w:sz w:val="20"/>
                <w:lang w:eastAsia="zh-CN"/>
              </w:rPr>
              <w:t>：</w:t>
            </w:r>
            <w:r>
              <w:rPr>
                <w:rFonts w:hint="eastAsia"/>
                <w:spacing w:val="0"/>
                <w:sz w:val="20"/>
                <w:lang w:val="en-US" w:eastAsia="zh-CN"/>
              </w:rPr>
              <w:t>8%</w:t>
            </w:r>
            <w:r>
              <w:rPr>
                <w:rFonts w:hint="eastAsia"/>
                <w:spacing w:val="0"/>
                <w:sz w:val="20"/>
              </w:rPr>
              <w:t>/9%</w:t>
            </w:r>
            <w:r>
              <w:rPr>
                <w:rFonts w:hint="eastAsia"/>
                <w:spacing w:val="0"/>
                <w:sz w:val="20"/>
                <w:lang w:val="en-US" w:eastAsia="zh-CN"/>
              </w:rPr>
              <w:t>/</w:t>
            </w:r>
            <w:r>
              <w:rPr>
                <w:rFonts w:hint="eastAsia"/>
                <w:spacing w:val="0"/>
                <w:sz w:val="20"/>
              </w:rPr>
              <w:t>3.5%</w:t>
            </w:r>
            <w:r>
              <w:rPr>
                <w:rFonts w:hint="eastAsia"/>
                <w:spacing w:val="0"/>
                <w:sz w:val="20"/>
                <w:lang w:eastAsia="zh-CN"/>
              </w:rPr>
              <w:t>，因工艺需要掺入空气</w:t>
            </w:r>
            <w:r>
              <w:rPr>
                <w:rFonts w:hint="eastAsia"/>
                <w:spacing w:val="0"/>
                <w:sz w:val="20"/>
                <w:lang w:val="en-US" w:eastAsia="zh-CN"/>
              </w:rPr>
              <w:t>/非密闭式生产的按实际浓度计</w:t>
            </w:r>
            <w:r>
              <w:rPr>
                <w:rFonts w:hint="eastAsia"/>
                <w:spacing w:val="0"/>
                <w:sz w:val="20"/>
              </w:rPr>
              <w:t>）。</w:t>
            </w:r>
          </w:p>
        </w:tc>
        <w:tc>
          <w:tcPr>
            <w:tcW w:w="70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rFonts w:hint="eastAsia"/>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808" w:type="pct"/>
            <w:vMerge w:val="continue"/>
            <w:tcBorders>
              <w:left w:val="single" w:color="auto" w:sz="4" w:space="0"/>
              <w:right w:val="single" w:color="auto" w:sz="4" w:space="0"/>
            </w:tcBorders>
            <w:vAlign w:val="center"/>
          </w:tcPr>
          <w:p>
            <w:pPr>
              <w:overflowPunct w:val="0"/>
              <w:topLinePunct/>
              <w:spacing w:line="280" w:lineRule="exact"/>
              <w:jc w:val="center"/>
              <w:rPr>
                <w:rFonts w:eastAsia="黑体"/>
                <w:kern w:val="0"/>
                <w:sz w:val="20"/>
              </w:rPr>
            </w:pPr>
          </w:p>
        </w:tc>
        <w:tc>
          <w:tcPr>
            <w:tcW w:w="1705" w:type="pct"/>
            <w:tcBorders>
              <w:top w:val="single" w:color="auto" w:sz="4" w:space="0"/>
              <w:left w:val="single" w:color="auto" w:sz="4" w:space="0"/>
              <w:bottom w:val="single" w:color="auto" w:sz="4" w:space="0"/>
              <w:right w:val="single" w:color="auto" w:sz="4" w:space="0"/>
            </w:tcBorders>
            <w:vAlign w:val="center"/>
          </w:tcPr>
          <w:p>
            <w:pPr>
              <w:overflowPunct/>
              <w:topLinePunct w:val="0"/>
              <w:spacing w:line="240" w:lineRule="auto"/>
              <w:rPr>
                <w:spacing w:val="0"/>
                <w:sz w:val="20"/>
              </w:rPr>
            </w:pPr>
            <w:r>
              <w:rPr>
                <w:rFonts w:hint="eastAsia"/>
                <w:spacing w:val="0"/>
                <w:sz w:val="20"/>
              </w:rPr>
              <w:t>（三）其他炉窑：</w:t>
            </w:r>
          </w:p>
          <w:p>
            <w:pPr>
              <w:overflowPunct/>
              <w:topLinePunct w:val="0"/>
              <w:spacing w:line="240" w:lineRule="auto"/>
              <w:rPr>
                <w:rFonts w:hint="eastAsia"/>
                <w:kern w:val="0"/>
                <w:sz w:val="20"/>
              </w:rPr>
            </w:pPr>
            <w:r>
              <w:rPr>
                <w:rFonts w:hint="eastAsia"/>
                <w:spacing w:val="0"/>
                <w:sz w:val="20"/>
              </w:rPr>
              <w:t>PM、SO</w:t>
            </w:r>
            <w:r>
              <w:rPr>
                <w:rFonts w:hint="eastAsia"/>
                <w:spacing w:val="0"/>
                <w:sz w:val="20"/>
                <w:vertAlign w:val="subscript"/>
              </w:rPr>
              <w:t>2</w:t>
            </w:r>
            <w:r>
              <w:rPr>
                <w:rFonts w:hint="eastAsia"/>
                <w:spacing w:val="0"/>
                <w:sz w:val="20"/>
              </w:rPr>
              <w:t>、NO</w:t>
            </w:r>
            <w:r>
              <w:rPr>
                <w:rFonts w:hint="eastAsia"/>
                <w:i/>
                <w:iCs/>
                <w:spacing w:val="0"/>
                <w:sz w:val="20"/>
                <w:vertAlign w:val="subscript"/>
              </w:rPr>
              <w:t>x</w:t>
            </w:r>
            <w:r>
              <w:rPr>
                <w:rFonts w:hint="eastAsia"/>
                <w:spacing w:val="0"/>
                <w:sz w:val="20"/>
              </w:rPr>
              <w:t>排放浓度分别不高于10、50、100mg/m</w:t>
            </w:r>
            <w:r>
              <w:rPr>
                <w:rFonts w:hint="eastAsia"/>
                <w:spacing w:val="0"/>
                <w:sz w:val="20"/>
                <w:vertAlign w:val="superscript"/>
              </w:rPr>
              <w:t>3</w:t>
            </w:r>
            <w:r>
              <w:rPr>
                <w:rFonts w:hint="eastAsia"/>
                <w:spacing w:val="0"/>
                <w:sz w:val="20"/>
                <w:vertAlign w:val="baseline"/>
                <w:lang w:val="en-US" w:eastAsia="zh-CN"/>
              </w:rPr>
              <w:t>;</w:t>
            </w:r>
            <w:r>
              <w:rPr>
                <w:rFonts w:hint="eastAsia"/>
                <w:spacing w:val="0"/>
                <w:sz w:val="20"/>
              </w:rPr>
              <w:t>（基准含氧量：9%）。</w:t>
            </w:r>
          </w:p>
        </w:tc>
        <w:tc>
          <w:tcPr>
            <w:tcW w:w="1781" w:type="pct"/>
            <w:tcBorders>
              <w:top w:val="single" w:color="auto" w:sz="4" w:space="0"/>
              <w:left w:val="single" w:color="auto" w:sz="4" w:space="0"/>
              <w:bottom w:val="single" w:color="auto" w:sz="4" w:space="0"/>
              <w:right w:val="single" w:color="auto" w:sz="4" w:space="0"/>
            </w:tcBorders>
            <w:vAlign w:val="center"/>
          </w:tcPr>
          <w:p>
            <w:pPr>
              <w:overflowPunct/>
              <w:topLinePunct w:val="0"/>
              <w:spacing w:line="240" w:lineRule="auto"/>
              <w:rPr>
                <w:spacing w:val="0"/>
                <w:sz w:val="20"/>
              </w:rPr>
            </w:pPr>
            <w:r>
              <w:rPr>
                <w:rFonts w:hint="eastAsia"/>
                <w:spacing w:val="0"/>
                <w:sz w:val="20"/>
              </w:rPr>
              <w:t>（三）其他炉窑：</w:t>
            </w:r>
          </w:p>
          <w:p>
            <w:pPr>
              <w:overflowPunct/>
              <w:topLinePunct w:val="0"/>
              <w:spacing w:line="240" w:lineRule="auto"/>
              <w:rPr>
                <w:rFonts w:hint="eastAsia"/>
                <w:kern w:val="0"/>
                <w:sz w:val="20"/>
              </w:rPr>
            </w:pPr>
            <w:r>
              <w:rPr>
                <w:rFonts w:hint="eastAsia"/>
                <w:spacing w:val="0"/>
                <w:sz w:val="20"/>
              </w:rPr>
              <w:t>PM、SO</w:t>
            </w:r>
            <w:r>
              <w:rPr>
                <w:rFonts w:hint="eastAsia"/>
                <w:spacing w:val="0"/>
                <w:sz w:val="20"/>
                <w:vertAlign w:val="subscript"/>
              </w:rPr>
              <w:t>2</w:t>
            </w:r>
            <w:r>
              <w:rPr>
                <w:rFonts w:hint="eastAsia"/>
                <w:spacing w:val="0"/>
                <w:sz w:val="20"/>
              </w:rPr>
              <w:t>、NO</w:t>
            </w:r>
            <w:r>
              <w:rPr>
                <w:rFonts w:hint="eastAsia"/>
                <w:i/>
                <w:iCs/>
                <w:spacing w:val="0"/>
                <w:sz w:val="20"/>
                <w:vertAlign w:val="subscript"/>
              </w:rPr>
              <w:t>x</w:t>
            </w:r>
            <w:r>
              <w:rPr>
                <w:rFonts w:hint="eastAsia"/>
                <w:spacing w:val="0"/>
                <w:sz w:val="20"/>
              </w:rPr>
              <w:t>排放浓度分别不高于10、100、200mg/m</w:t>
            </w:r>
            <w:r>
              <w:rPr>
                <w:rFonts w:hint="eastAsia"/>
                <w:spacing w:val="0"/>
                <w:sz w:val="20"/>
                <w:vertAlign w:val="superscript"/>
              </w:rPr>
              <w:t>3</w:t>
            </w:r>
            <w:r>
              <w:rPr>
                <w:rFonts w:hint="eastAsia"/>
                <w:spacing w:val="0"/>
                <w:sz w:val="20"/>
              </w:rPr>
              <w:t>（基准含氧量：9%）。</w:t>
            </w:r>
          </w:p>
        </w:tc>
        <w:tc>
          <w:tcPr>
            <w:tcW w:w="70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rFonts w:hint="eastAsia"/>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808" w:type="pct"/>
            <w:vMerge w:val="continue"/>
            <w:tcBorders>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p>
        </w:tc>
        <w:tc>
          <w:tcPr>
            <w:tcW w:w="1705"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spacing w:val="0"/>
                <w:sz w:val="20"/>
              </w:rPr>
            </w:pPr>
            <w:r>
              <w:rPr>
                <w:rFonts w:hint="eastAsia"/>
                <w:spacing w:val="0"/>
                <w:sz w:val="20"/>
              </w:rPr>
              <w:t>（四）其他工序：</w:t>
            </w:r>
          </w:p>
          <w:p>
            <w:pPr>
              <w:overflowPunct w:val="0"/>
              <w:topLinePunct/>
              <w:spacing w:line="280" w:lineRule="exact"/>
              <w:rPr>
                <w:spacing w:val="0"/>
                <w:sz w:val="20"/>
              </w:rPr>
            </w:pPr>
            <w:r>
              <w:rPr>
                <w:rFonts w:hint="eastAsia"/>
                <w:spacing w:val="0"/>
                <w:sz w:val="20"/>
              </w:rPr>
              <w:t>1、PM有组织排放浓度不高于10mg/m</w:t>
            </w:r>
            <w:r>
              <w:rPr>
                <w:rFonts w:hint="eastAsia"/>
                <w:spacing w:val="0"/>
                <w:sz w:val="20"/>
                <w:vertAlign w:val="superscript"/>
              </w:rPr>
              <w:t>3</w:t>
            </w:r>
            <w:r>
              <w:rPr>
                <w:rFonts w:hint="eastAsia"/>
                <w:spacing w:val="0"/>
                <w:sz w:val="20"/>
              </w:rPr>
              <w:t>。</w:t>
            </w:r>
          </w:p>
          <w:p>
            <w:pPr>
              <w:overflowPunct w:val="0"/>
              <w:topLinePunct/>
              <w:spacing w:line="280" w:lineRule="exact"/>
              <w:rPr>
                <w:sz w:val="20"/>
              </w:rPr>
            </w:pPr>
            <w:r>
              <w:rPr>
                <w:rFonts w:hint="eastAsia"/>
                <w:sz w:val="20"/>
              </w:rPr>
              <w:t>2、VOCs（以NMHC计）有组织排放浓度不高于30mg/m</w:t>
            </w:r>
            <w:r>
              <w:rPr>
                <w:rFonts w:hint="eastAsia"/>
                <w:sz w:val="20"/>
                <w:vertAlign w:val="superscript"/>
              </w:rPr>
              <w:t>3</w:t>
            </w:r>
            <w:r>
              <w:rPr>
                <w:rFonts w:hint="eastAsia"/>
                <w:sz w:val="20"/>
              </w:rPr>
              <w:t>。</w:t>
            </w:r>
          </w:p>
          <w:p>
            <w:pPr>
              <w:overflowPunct w:val="0"/>
              <w:topLinePunct/>
              <w:spacing w:line="280" w:lineRule="exact"/>
              <w:rPr>
                <w:rFonts w:hint="eastAsia"/>
                <w:kern w:val="0"/>
                <w:sz w:val="20"/>
              </w:rPr>
            </w:pPr>
            <w:r>
              <w:rPr>
                <w:rFonts w:hint="eastAsia"/>
                <w:kern w:val="0"/>
                <w:sz w:val="20"/>
              </w:rPr>
              <w:t>3、厂区内无组织排放监控点NMHC的1h平均浓度值不高于6mg/m</w:t>
            </w:r>
            <w:r>
              <w:rPr>
                <w:rFonts w:hint="eastAsia"/>
                <w:kern w:val="0"/>
                <w:sz w:val="20"/>
                <w:vertAlign w:val="superscript"/>
              </w:rPr>
              <w:t>3</w:t>
            </w:r>
            <w:r>
              <w:rPr>
                <w:rFonts w:hint="eastAsia"/>
                <w:kern w:val="0"/>
                <w:sz w:val="20"/>
              </w:rPr>
              <w:t>、任意一次浓度值不高于20mg/m</w:t>
            </w:r>
            <w:r>
              <w:rPr>
                <w:rFonts w:hint="eastAsia"/>
                <w:kern w:val="0"/>
                <w:sz w:val="20"/>
                <w:vertAlign w:val="superscript"/>
              </w:rPr>
              <w:t>3</w:t>
            </w:r>
            <w:r>
              <w:rPr>
                <w:rFonts w:hint="eastAsia"/>
                <w:kern w:val="0"/>
                <w:sz w:val="20"/>
              </w:rPr>
              <w:t>。</w:t>
            </w:r>
          </w:p>
        </w:tc>
        <w:tc>
          <w:tcPr>
            <w:tcW w:w="1781"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spacing w:val="0"/>
                <w:sz w:val="20"/>
              </w:rPr>
            </w:pPr>
            <w:r>
              <w:rPr>
                <w:rFonts w:hint="eastAsia"/>
                <w:spacing w:val="0"/>
                <w:sz w:val="20"/>
              </w:rPr>
              <w:t>（四）其他工序：</w:t>
            </w:r>
          </w:p>
          <w:p>
            <w:pPr>
              <w:overflowPunct w:val="0"/>
              <w:topLinePunct/>
              <w:spacing w:line="280" w:lineRule="exact"/>
              <w:rPr>
                <w:kern w:val="0"/>
                <w:sz w:val="20"/>
              </w:rPr>
            </w:pPr>
            <w:r>
              <w:rPr>
                <w:rFonts w:hint="eastAsia"/>
                <w:kern w:val="0"/>
                <w:sz w:val="20"/>
              </w:rPr>
              <w:t>1、PM有组织排放浓度不高于10mg/m</w:t>
            </w:r>
            <w:r>
              <w:rPr>
                <w:rFonts w:hint="eastAsia"/>
                <w:kern w:val="0"/>
                <w:sz w:val="20"/>
                <w:vertAlign w:val="superscript"/>
              </w:rPr>
              <w:t>3</w:t>
            </w:r>
            <w:r>
              <w:rPr>
                <w:rFonts w:hint="eastAsia"/>
                <w:kern w:val="0"/>
                <w:sz w:val="20"/>
              </w:rPr>
              <w:t>。</w:t>
            </w:r>
          </w:p>
          <w:p>
            <w:pPr>
              <w:overflowPunct w:val="0"/>
              <w:topLinePunct/>
              <w:spacing w:line="280" w:lineRule="exact"/>
              <w:rPr>
                <w:kern w:val="0"/>
                <w:sz w:val="20"/>
              </w:rPr>
            </w:pPr>
            <w:r>
              <w:rPr>
                <w:rFonts w:hint="eastAsia"/>
                <w:kern w:val="0"/>
                <w:sz w:val="20"/>
              </w:rPr>
              <w:t>2、VOCs（以NMHC计）有组织排放浓度不高于40mg/m</w:t>
            </w:r>
            <w:r>
              <w:rPr>
                <w:rFonts w:hint="eastAsia"/>
                <w:kern w:val="0"/>
                <w:sz w:val="20"/>
                <w:vertAlign w:val="superscript"/>
              </w:rPr>
              <w:t>3</w:t>
            </w:r>
            <w:r>
              <w:rPr>
                <w:rFonts w:hint="eastAsia"/>
                <w:kern w:val="0"/>
                <w:sz w:val="20"/>
              </w:rPr>
              <w:t>。</w:t>
            </w:r>
          </w:p>
          <w:p>
            <w:pPr>
              <w:overflowPunct w:val="0"/>
              <w:topLinePunct/>
              <w:spacing w:line="280" w:lineRule="exact"/>
              <w:rPr>
                <w:rFonts w:hint="eastAsia"/>
                <w:kern w:val="0"/>
                <w:sz w:val="20"/>
              </w:rPr>
            </w:pPr>
            <w:r>
              <w:rPr>
                <w:rFonts w:hint="eastAsia"/>
                <w:kern w:val="0"/>
                <w:sz w:val="20"/>
              </w:rPr>
              <w:t>3、厂区内无组织排放监控点NMHC的1h平均浓度值不高于6mg/m</w:t>
            </w:r>
            <w:r>
              <w:rPr>
                <w:rFonts w:hint="eastAsia"/>
                <w:kern w:val="0"/>
                <w:sz w:val="20"/>
                <w:vertAlign w:val="superscript"/>
              </w:rPr>
              <w:t>3</w:t>
            </w:r>
            <w:r>
              <w:rPr>
                <w:rFonts w:hint="eastAsia"/>
                <w:kern w:val="0"/>
                <w:sz w:val="20"/>
              </w:rPr>
              <w:t>、任意一次浓度值不高于20mg/m</w:t>
            </w:r>
            <w:r>
              <w:rPr>
                <w:rFonts w:hint="eastAsia"/>
                <w:kern w:val="0"/>
                <w:sz w:val="20"/>
                <w:vertAlign w:val="superscript"/>
              </w:rPr>
              <w:t>3</w:t>
            </w:r>
            <w:r>
              <w:rPr>
                <w:rFonts w:hint="eastAsia"/>
                <w:kern w:val="0"/>
                <w:sz w:val="20"/>
              </w:rPr>
              <w:t>。</w:t>
            </w:r>
          </w:p>
        </w:tc>
        <w:tc>
          <w:tcPr>
            <w:tcW w:w="704"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rFonts w:hint="eastAsia"/>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80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监测监控水平</w:t>
            </w:r>
          </w:p>
        </w:tc>
        <w:tc>
          <w:tcPr>
            <w:tcW w:w="4191" w:type="pct"/>
            <w:gridSpan w:val="3"/>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80" w:lineRule="exact"/>
              <w:rPr>
                <w:kern w:val="0"/>
                <w:sz w:val="20"/>
              </w:rPr>
            </w:pPr>
            <w:r>
              <w:rPr>
                <w:rFonts w:hint="eastAsia"/>
                <w:kern w:val="0"/>
                <w:sz w:val="20"/>
              </w:rPr>
              <w:t>1、重点排污单位及排污许可重点管理单位主要排</w:t>
            </w:r>
            <w:r>
              <w:rPr>
                <w:rFonts w:hint="eastAsia"/>
                <w:kern w:val="0"/>
                <w:sz w:val="20"/>
                <w:lang w:eastAsia="zh-CN"/>
              </w:rPr>
              <w:t>放</w:t>
            </w:r>
            <w:r>
              <w:rPr>
                <w:rFonts w:hint="eastAsia"/>
                <w:kern w:val="0"/>
                <w:sz w:val="20"/>
              </w:rPr>
              <w:t>口</w:t>
            </w:r>
            <w:r>
              <w:rPr>
                <w:rFonts w:hint="eastAsia" w:eastAsia="黑体"/>
                <w:spacing w:val="0"/>
                <w:sz w:val="20"/>
                <w:vertAlign w:val="superscript"/>
              </w:rPr>
              <w:t>【</w:t>
            </w:r>
            <w:r>
              <w:rPr>
                <w:rFonts w:hint="eastAsia" w:eastAsia="黑体"/>
                <w:spacing w:val="0"/>
                <w:sz w:val="20"/>
                <w:vertAlign w:val="superscript"/>
                <w:lang w:val="en-US" w:eastAsia="zh-CN"/>
              </w:rPr>
              <w:t>5</w:t>
            </w:r>
            <w:r>
              <w:rPr>
                <w:rFonts w:hint="eastAsia" w:eastAsia="黑体"/>
                <w:spacing w:val="0"/>
                <w:sz w:val="20"/>
                <w:vertAlign w:val="superscript"/>
              </w:rPr>
              <w:t>】</w:t>
            </w:r>
            <w:r>
              <w:rPr>
                <w:rFonts w:hint="eastAsia"/>
                <w:kern w:val="0"/>
                <w:sz w:val="20"/>
              </w:rPr>
              <w:t>应当安装污染物排放自动监测设备（CEMS），并与生态环境主管部门的监控设备联网，数据保存一年以上（投产或安装时间不满一年的企业，以现有数据为准）。</w:t>
            </w:r>
          </w:p>
          <w:p>
            <w:pPr>
              <w:tabs>
                <w:tab w:val="left" w:pos="267"/>
              </w:tabs>
              <w:overflowPunct w:val="0"/>
              <w:topLinePunct/>
              <w:spacing w:line="280" w:lineRule="exact"/>
              <w:rPr>
                <w:kern w:val="0"/>
                <w:sz w:val="20"/>
              </w:rPr>
            </w:pPr>
            <w:r>
              <w:rPr>
                <w:rFonts w:hint="eastAsia"/>
                <w:kern w:val="0"/>
                <w:sz w:val="20"/>
              </w:rPr>
              <w:t>2、按照排污许可证、行业自行监测指南或排污单位自行监测技术指南等相关要求开展自行监测。</w:t>
            </w:r>
          </w:p>
          <w:p>
            <w:pPr>
              <w:tabs>
                <w:tab w:val="left" w:pos="267"/>
              </w:tabs>
              <w:overflowPunct w:val="0"/>
              <w:topLinePunct/>
              <w:spacing w:line="280" w:lineRule="exact"/>
              <w:rPr>
                <w:kern w:val="0"/>
                <w:sz w:val="20"/>
              </w:rPr>
            </w:pPr>
            <w:r>
              <w:rPr>
                <w:rFonts w:hint="eastAsia"/>
                <w:kern w:val="0"/>
                <w:sz w:val="20"/>
              </w:rPr>
              <w:t>3、企业主要环保设施及生产设施安装分布式控制系统（DCS）或可保存和查看历史数据的可编程控制系统（PLC），记录企业环保设施运行及相关生产过程主要参数，数据保存一年以上。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808" w:type="pct"/>
            <w:vMerge w:val="restar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环境管理水平</w:t>
            </w:r>
          </w:p>
        </w:tc>
        <w:tc>
          <w:tcPr>
            <w:tcW w:w="4191" w:type="pct"/>
            <w:gridSpan w:val="3"/>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80" w:lineRule="exact"/>
              <w:rPr>
                <w:kern w:val="0"/>
                <w:sz w:val="20"/>
              </w:rPr>
            </w:pPr>
            <w:r>
              <w:rPr>
                <w:rFonts w:hint="eastAsia"/>
                <w:kern w:val="0"/>
                <w:sz w:val="20"/>
                <w:lang w:val="en-US" w:eastAsia="zh-CN"/>
              </w:rPr>
              <w:t>1、</w:t>
            </w:r>
            <w:r>
              <w:rPr>
                <w:rFonts w:hint="eastAsia"/>
                <w:kern w:val="0"/>
                <w:sz w:val="20"/>
              </w:rPr>
              <w:t>环保档案资料齐全</w:t>
            </w:r>
            <w:r>
              <w:rPr>
                <w:rFonts w:hint="eastAsia"/>
                <w:kern w:val="0"/>
                <w:sz w:val="20"/>
                <w:lang w:eastAsia="zh-CN"/>
              </w:rPr>
              <w:t>：</w:t>
            </w:r>
            <w:r>
              <w:rPr>
                <w:rFonts w:hint="eastAsia" w:cs="宋体"/>
                <w:kern w:val="0"/>
                <w:sz w:val="20"/>
              </w:rPr>
              <w:t>①</w:t>
            </w:r>
            <w:r>
              <w:rPr>
                <w:rFonts w:hint="eastAsia"/>
                <w:kern w:val="0"/>
                <w:sz w:val="20"/>
              </w:rPr>
              <w:t>环评批复文件和竣工验收文件/现状评估文件</w:t>
            </w:r>
            <w:r>
              <w:rPr>
                <w:rFonts w:hint="eastAsia"/>
                <w:kern w:val="0"/>
                <w:sz w:val="20"/>
                <w:lang w:eastAsia="zh-CN"/>
              </w:rPr>
              <w:t>；</w:t>
            </w:r>
            <w:r>
              <w:rPr>
                <w:rFonts w:hint="eastAsia" w:cs="宋体"/>
                <w:kern w:val="0"/>
                <w:sz w:val="20"/>
              </w:rPr>
              <w:t>②</w:t>
            </w:r>
            <w:r>
              <w:rPr>
                <w:rFonts w:hint="eastAsia"/>
                <w:kern w:val="0"/>
                <w:sz w:val="20"/>
              </w:rPr>
              <w:t>废气治理设施运行管理规程</w:t>
            </w:r>
            <w:r>
              <w:rPr>
                <w:rFonts w:hint="eastAsia"/>
                <w:kern w:val="0"/>
                <w:sz w:val="20"/>
                <w:lang w:eastAsia="zh-CN"/>
              </w:rPr>
              <w:t>；</w:t>
            </w:r>
            <w:r>
              <w:rPr>
                <w:rFonts w:hint="eastAsia" w:cs="宋体"/>
                <w:kern w:val="0"/>
                <w:sz w:val="20"/>
              </w:rPr>
              <w:t>③</w:t>
            </w:r>
            <w:r>
              <w:rPr>
                <w:rFonts w:hint="eastAsia"/>
                <w:kern w:val="0"/>
                <w:sz w:val="20"/>
              </w:rPr>
              <w:t>一年内废气监测报告</w:t>
            </w:r>
            <w:r>
              <w:rPr>
                <w:rFonts w:hint="eastAsia"/>
                <w:kern w:val="0"/>
                <w:sz w:val="20"/>
                <w:lang w:eastAsia="zh-CN"/>
              </w:rPr>
              <w:t>；</w:t>
            </w:r>
            <w:r>
              <w:rPr>
                <w:rFonts w:hint="eastAsia" w:cs="宋体"/>
                <w:kern w:val="0"/>
                <w:sz w:val="20"/>
              </w:rPr>
              <w:t>④</w:t>
            </w:r>
            <w:r>
              <w:rPr>
                <w:rFonts w:hint="eastAsia"/>
                <w:kern w:val="0"/>
                <w:sz w:val="20"/>
              </w:rPr>
              <w:t>排污许可证，并按要求开展自行监测和信息披露，有规范的排气筒监测平台和排污口标识。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808" w:type="pct"/>
            <w:vMerge w:val="continue"/>
            <w:tcBorders>
              <w:left w:val="single" w:color="auto" w:sz="4" w:space="0"/>
              <w:right w:val="single" w:color="auto" w:sz="4" w:space="0"/>
            </w:tcBorders>
            <w:vAlign w:val="center"/>
          </w:tcPr>
          <w:p>
            <w:pPr>
              <w:overflowPunct w:val="0"/>
              <w:topLinePunct/>
              <w:spacing w:line="280" w:lineRule="exact"/>
              <w:jc w:val="center"/>
              <w:rPr>
                <w:rFonts w:hint="eastAsia" w:eastAsia="黑体"/>
                <w:kern w:val="0"/>
                <w:sz w:val="20"/>
              </w:rPr>
            </w:pPr>
          </w:p>
        </w:tc>
        <w:tc>
          <w:tcPr>
            <w:tcW w:w="3487"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80" w:lineRule="exact"/>
              <w:rPr>
                <w:rFonts w:hint="eastAsia"/>
                <w:kern w:val="0"/>
                <w:sz w:val="20"/>
              </w:rPr>
            </w:pPr>
            <w:r>
              <w:rPr>
                <w:rFonts w:hint="eastAsia"/>
                <w:kern w:val="0"/>
                <w:sz w:val="20"/>
                <w:lang w:val="en-US" w:eastAsia="zh-CN"/>
              </w:rPr>
              <w:t>2、</w:t>
            </w:r>
            <w:r>
              <w:rPr>
                <w:rFonts w:hint="eastAsia"/>
                <w:kern w:val="0"/>
                <w:sz w:val="20"/>
              </w:rPr>
              <w:t>台账记录信息完整</w:t>
            </w:r>
            <w:r>
              <w:rPr>
                <w:rFonts w:hint="eastAsia"/>
                <w:kern w:val="0"/>
                <w:sz w:val="20"/>
                <w:lang w:eastAsia="zh-CN"/>
              </w:rPr>
              <w:t>：</w:t>
            </w:r>
            <w:r>
              <w:rPr>
                <w:rFonts w:hint="eastAsia" w:cs="宋体"/>
                <w:kern w:val="0"/>
                <w:sz w:val="20"/>
              </w:rPr>
              <w:t>①</w:t>
            </w:r>
            <w:r>
              <w:rPr>
                <w:rFonts w:hint="eastAsia"/>
                <w:kern w:val="0"/>
                <w:sz w:val="20"/>
              </w:rPr>
              <w:t>生产设施运行管理信息（生产时间、运行负荷、产品产量等）</w:t>
            </w:r>
            <w:r>
              <w:rPr>
                <w:rFonts w:hint="eastAsia"/>
                <w:kern w:val="0"/>
                <w:sz w:val="20"/>
                <w:lang w:eastAsia="zh-CN"/>
              </w:rPr>
              <w:t>；</w:t>
            </w:r>
            <w:r>
              <w:rPr>
                <w:rFonts w:hint="eastAsia" w:cs="宋体"/>
                <w:kern w:val="0"/>
                <w:sz w:val="20"/>
              </w:rPr>
              <w:t>②</w:t>
            </w:r>
            <w:r>
              <w:rPr>
                <w:rFonts w:hint="eastAsia"/>
                <w:kern w:val="0"/>
                <w:sz w:val="20"/>
              </w:rPr>
              <w:t>废气污染治理设施运行管理信息（除尘滤料、活性炭等更换量和时间）</w:t>
            </w:r>
            <w:r>
              <w:rPr>
                <w:rFonts w:hint="eastAsia"/>
                <w:kern w:val="0"/>
                <w:sz w:val="20"/>
                <w:lang w:eastAsia="zh-CN"/>
              </w:rPr>
              <w:t>；</w:t>
            </w:r>
            <w:r>
              <w:rPr>
                <w:rFonts w:hint="eastAsia" w:cs="宋体"/>
                <w:kern w:val="0"/>
                <w:sz w:val="20"/>
              </w:rPr>
              <w:t>③</w:t>
            </w:r>
            <w:r>
              <w:rPr>
                <w:rFonts w:hint="eastAsia"/>
                <w:kern w:val="0"/>
                <w:sz w:val="20"/>
              </w:rPr>
              <w:t>监测记录信息（主要污染排放口废气排放记录（手工监测和在线监测）等）</w:t>
            </w:r>
            <w:r>
              <w:rPr>
                <w:rFonts w:hint="eastAsia"/>
                <w:kern w:val="0"/>
                <w:sz w:val="20"/>
                <w:lang w:eastAsia="zh-CN"/>
              </w:rPr>
              <w:t>；</w:t>
            </w:r>
            <w:r>
              <w:rPr>
                <w:rFonts w:hint="eastAsia" w:cs="宋体"/>
                <w:kern w:val="0"/>
                <w:sz w:val="20"/>
              </w:rPr>
              <w:t>④</w:t>
            </w:r>
            <w:r>
              <w:rPr>
                <w:rFonts w:hint="eastAsia"/>
                <w:kern w:val="0"/>
                <w:sz w:val="20"/>
              </w:rPr>
              <w:t>主要原辅材料、燃料消耗记录</w:t>
            </w:r>
            <w:r>
              <w:rPr>
                <w:rFonts w:hint="eastAsia"/>
                <w:kern w:val="0"/>
                <w:sz w:val="20"/>
                <w:lang w:eastAsia="zh-CN"/>
              </w:rPr>
              <w:t>；</w:t>
            </w:r>
            <w:r>
              <w:rPr>
                <w:rFonts w:hint="eastAsia" w:cs="宋体"/>
                <w:kern w:val="0"/>
                <w:sz w:val="20"/>
              </w:rPr>
              <w:t>⑤</w:t>
            </w:r>
            <w:r>
              <w:rPr>
                <w:rFonts w:hint="eastAsia"/>
                <w:kern w:val="0"/>
                <w:sz w:val="20"/>
              </w:rPr>
              <w:t>一般固废、危废处理记录</w:t>
            </w:r>
            <w:r>
              <w:rPr>
                <w:rFonts w:hint="eastAsia"/>
                <w:kern w:val="0"/>
                <w:sz w:val="20"/>
                <w:lang w:eastAsia="zh-CN"/>
              </w:rPr>
              <w:t>；</w:t>
            </w:r>
            <w:r>
              <w:rPr>
                <w:rFonts w:hint="eastAsia"/>
                <w:kern w:val="0"/>
                <w:sz w:val="20"/>
              </w:rPr>
              <w:fldChar w:fldCharType="begin"/>
            </w:r>
            <w:r>
              <w:rPr>
                <w:rFonts w:hint="eastAsia"/>
                <w:kern w:val="0"/>
                <w:sz w:val="20"/>
              </w:rPr>
              <w:instrText xml:space="preserve"> = 6 \* GB3 \* MERGEFORMAT </w:instrText>
            </w:r>
            <w:r>
              <w:rPr>
                <w:rFonts w:hint="eastAsia"/>
                <w:kern w:val="0"/>
                <w:sz w:val="20"/>
              </w:rPr>
              <w:fldChar w:fldCharType="separate"/>
            </w:r>
            <w:r>
              <w:rPr>
                <w:rFonts w:hint="eastAsia" w:cs="宋体"/>
                <w:kern w:val="0"/>
                <w:sz w:val="20"/>
              </w:rPr>
              <w:t>⑥</w:t>
            </w:r>
            <w:r>
              <w:rPr>
                <w:rFonts w:hint="eastAsia"/>
                <w:kern w:val="0"/>
                <w:sz w:val="20"/>
              </w:rPr>
              <w:fldChar w:fldCharType="end"/>
            </w:r>
            <w:r>
              <w:rPr>
                <w:rFonts w:hint="eastAsia"/>
                <w:kern w:val="0"/>
                <w:sz w:val="20"/>
              </w:rPr>
              <w:t>电消耗记录。</w:t>
            </w:r>
          </w:p>
          <w:p>
            <w:pPr>
              <w:tabs>
                <w:tab w:val="left" w:pos="267"/>
              </w:tabs>
              <w:overflowPunct w:val="0"/>
              <w:topLinePunct/>
              <w:spacing w:line="280" w:lineRule="exact"/>
              <w:rPr>
                <w:rFonts w:hint="eastAsia"/>
                <w:kern w:val="0"/>
                <w:sz w:val="20"/>
                <w:lang w:val="en-US" w:eastAsia="zh-CN"/>
              </w:rPr>
            </w:pPr>
            <w:r>
              <w:rPr>
                <w:rFonts w:hint="eastAsia"/>
                <w:kern w:val="0"/>
                <w:sz w:val="20"/>
                <w:lang w:val="en-US" w:eastAsia="zh-CN"/>
              </w:rPr>
              <w:t>3、</w:t>
            </w:r>
            <w:r>
              <w:rPr>
                <w:rFonts w:hint="eastAsia"/>
                <w:kern w:val="0"/>
                <w:sz w:val="20"/>
              </w:rPr>
              <w:t>人员配置：配备专职环保人员，并具备相应的环境管理能力（学历、培训、从业经验等）。</w:t>
            </w:r>
          </w:p>
        </w:tc>
        <w:tc>
          <w:tcPr>
            <w:tcW w:w="704"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80" w:lineRule="exact"/>
              <w:rPr>
                <w:rFonts w:hint="eastAsia"/>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80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运输方式</w:t>
            </w:r>
          </w:p>
        </w:tc>
        <w:tc>
          <w:tcPr>
            <w:tcW w:w="1705"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80" w:lineRule="exact"/>
              <w:rPr>
                <w:kern w:val="0"/>
                <w:sz w:val="20"/>
              </w:rPr>
            </w:pPr>
            <w:r>
              <w:rPr>
                <w:rFonts w:hint="eastAsia"/>
                <w:kern w:val="0"/>
                <w:sz w:val="20"/>
              </w:rPr>
              <w:t>1、物料公路运输全部使用国五及以上排放标准重型载货车辆（含燃气）或新能源车辆等清洁运输方式。</w:t>
            </w:r>
          </w:p>
          <w:p>
            <w:pPr>
              <w:tabs>
                <w:tab w:val="left" w:pos="267"/>
              </w:tabs>
              <w:overflowPunct w:val="0"/>
              <w:topLinePunct/>
              <w:spacing w:line="280" w:lineRule="exact"/>
              <w:ind w:left="0"/>
              <w:rPr>
                <w:kern w:val="0"/>
                <w:sz w:val="20"/>
              </w:rPr>
            </w:pPr>
            <w:r>
              <w:rPr>
                <w:rFonts w:hint="eastAsia"/>
                <w:kern w:val="0"/>
                <w:sz w:val="20"/>
              </w:rPr>
              <w:t>2、厂内运输车辆全部达到国五及以上排放标准（含燃气）或使用新能源车辆。</w:t>
            </w:r>
          </w:p>
          <w:p>
            <w:pPr>
              <w:tabs>
                <w:tab w:val="left" w:pos="267"/>
              </w:tabs>
              <w:overflowPunct w:val="0"/>
              <w:topLinePunct/>
              <w:spacing w:line="280" w:lineRule="exact"/>
              <w:rPr>
                <w:kern w:val="0"/>
                <w:sz w:val="20"/>
              </w:rPr>
            </w:pPr>
            <w:r>
              <w:rPr>
                <w:rFonts w:hint="eastAsia"/>
                <w:kern w:val="0"/>
                <w:sz w:val="20"/>
              </w:rPr>
              <w:t>3、厂内非道路移动机械全部达到国三及以上排放标准或使用新能源机械。</w:t>
            </w:r>
          </w:p>
          <w:p>
            <w:pPr>
              <w:tabs>
                <w:tab w:val="left" w:pos="267"/>
              </w:tabs>
              <w:overflowPunct w:val="0"/>
              <w:topLinePunct/>
              <w:spacing w:line="280" w:lineRule="exact"/>
              <w:rPr>
                <w:kern w:val="0"/>
                <w:sz w:val="20"/>
              </w:rPr>
            </w:pPr>
            <w:r>
              <w:rPr>
                <w:rFonts w:hint="eastAsia"/>
                <w:kern w:val="0"/>
                <w:sz w:val="20"/>
              </w:rPr>
              <w:t>4、危险品及危废运输全部使用国五及以上或新能源车辆。</w:t>
            </w:r>
          </w:p>
        </w:tc>
        <w:tc>
          <w:tcPr>
            <w:tcW w:w="1781"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80" w:lineRule="exact"/>
              <w:rPr>
                <w:kern w:val="0"/>
                <w:sz w:val="20"/>
              </w:rPr>
            </w:pPr>
            <w:r>
              <w:rPr>
                <w:rFonts w:hint="eastAsia"/>
                <w:kern w:val="0"/>
                <w:sz w:val="20"/>
              </w:rPr>
              <w:t>1、物料公路运输使用国五及以上排放标准重型载货车辆（含燃气）或新能源车辆等清洁运输方式比例不低于80%。</w:t>
            </w:r>
          </w:p>
          <w:p>
            <w:pPr>
              <w:tabs>
                <w:tab w:val="left" w:pos="267"/>
              </w:tabs>
              <w:overflowPunct w:val="0"/>
              <w:topLinePunct/>
              <w:spacing w:line="280" w:lineRule="exact"/>
              <w:ind w:left="0"/>
              <w:rPr>
                <w:kern w:val="0"/>
                <w:sz w:val="20"/>
              </w:rPr>
            </w:pPr>
            <w:r>
              <w:rPr>
                <w:rFonts w:hint="eastAsia"/>
                <w:kern w:val="0"/>
                <w:sz w:val="20"/>
              </w:rPr>
              <w:t>2、厂内运输车辆达到国五及以上排放标准（含燃气）或使用新能源车辆的比例不利于80%。</w:t>
            </w:r>
          </w:p>
          <w:p>
            <w:pPr>
              <w:tabs>
                <w:tab w:val="left" w:pos="267"/>
              </w:tabs>
              <w:overflowPunct w:val="0"/>
              <w:topLinePunct/>
              <w:spacing w:line="280" w:lineRule="exact"/>
              <w:rPr>
                <w:kern w:val="0"/>
                <w:sz w:val="20"/>
              </w:rPr>
            </w:pPr>
            <w:r>
              <w:rPr>
                <w:rFonts w:hint="eastAsia"/>
                <w:kern w:val="0"/>
                <w:sz w:val="20"/>
              </w:rPr>
              <w:t>3、厂内非道路移动机械达到国三及以上排放标准或使用新能源机械的比例不低于80%。</w:t>
            </w:r>
          </w:p>
          <w:p>
            <w:pPr>
              <w:tabs>
                <w:tab w:val="left" w:pos="267"/>
              </w:tabs>
              <w:overflowPunct w:val="0"/>
              <w:topLinePunct/>
              <w:spacing w:line="280" w:lineRule="exact"/>
              <w:rPr>
                <w:kern w:val="0"/>
                <w:sz w:val="20"/>
              </w:rPr>
            </w:pPr>
            <w:r>
              <w:rPr>
                <w:rFonts w:hint="eastAsia"/>
                <w:kern w:val="0"/>
                <w:sz w:val="20"/>
              </w:rPr>
              <w:t>4、危险品及危废运输全部使用国五及以上或新能源车辆。</w:t>
            </w:r>
          </w:p>
        </w:tc>
        <w:tc>
          <w:tcPr>
            <w:tcW w:w="704"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80" w:lineRule="exact"/>
              <w:rPr>
                <w:kern w:val="0"/>
                <w:sz w:val="20"/>
              </w:rPr>
            </w:pPr>
            <w:r>
              <w:rPr>
                <w:rFonts w:hint="eastAsia"/>
                <w:kern w:val="0"/>
                <w:sz w:val="20"/>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808" w:type="pct"/>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jc w:val="center"/>
              <w:rPr>
                <w:rFonts w:eastAsia="黑体"/>
                <w:kern w:val="0"/>
                <w:sz w:val="20"/>
              </w:rPr>
            </w:pPr>
            <w:r>
              <w:rPr>
                <w:rFonts w:hint="eastAsia" w:eastAsia="黑体"/>
                <w:kern w:val="0"/>
                <w:sz w:val="20"/>
              </w:rPr>
              <w:t>运输监管</w:t>
            </w:r>
          </w:p>
        </w:tc>
        <w:tc>
          <w:tcPr>
            <w:tcW w:w="3487" w:type="pct"/>
            <w:gridSpan w:val="2"/>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80" w:lineRule="exact"/>
              <w:rPr>
                <w:kern w:val="0"/>
                <w:sz w:val="20"/>
              </w:rPr>
            </w:pPr>
            <w:r>
              <w:rPr>
                <w:rFonts w:hint="eastAsia"/>
                <w:kern w:val="0"/>
                <w:sz w:val="20"/>
                <w:lang w:eastAsia="zh-CN"/>
              </w:rPr>
              <w:t>建立门禁系统和电子台账，创建要求参照《重点行业移动源监管与核查技术指南》（</w:t>
            </w:r>
            <w:r>
              <w:rPr>
                <w:rFonts w:hint="eastAsia"/>
                <w:kern w:val="0"/>
                <w:sz w:val="20"/>
                <w:lang w:val="en-US" w:eastAsia="zh-CN"/>
              </w:rPr>
              <w:t>HJ 1321</w:t>
            </w:r>
            <w:r>
              <w:rPr>
                <w:rFonts w:hint="eastAsia"/>
                <w:kern w:val="0"/>
                <w:sz w:val="20"/>
                <w:lang w:eastAsia="zh-CN"/>
              </w:rPr>
              <w:t>）</w:t>
            </w:r>
            <w:r>
              <w:rPr>
                <w:rFonts w:hint="eastAsia"/>
                <w:kern w:val="0"/>
                <w:sz w:val="20"/>
              </w:rPr>
              <w:t>。</w:t>
            </w:r>
          </w:p>
        </w:tc>
        <w:tc>
          <w:tcPr>
            <w:tcW w:w="704" w:type="pct"/>
            <w:tcBorders>
              <w:top w:val="single" w:color="auto" w:sz="4" w:space="0"/>
              <w:left w:val="single" w:color="auto" w:sz="4" w:space="0"/>
              <w:bottom w:val="single" w:color="auto" w:sz="4" w:space="0"/>
              <w:right w:val="single" w:color="auto" w:sz="4" w:space="0"/>
            </w:tcBorders>
            <w:vAlign w:val="center"/>
          </w:tcPr>
          <w:p>
            <w:pPr>
              <w:tabs>
                <w:tab w:val="left" w:pos="267"/>
              </w:tabs>
              <w:overflowPunct w:val="0"/>
              <w:topLinePunct/>
              <w:spacing w:line="280" w:lineRule="exact"/>
              <w:rPr>
                <w:kern w:val="0"/>
                <w:sz w:val="20"/>
              </w:rPr>
            </w:pPr>
            <w:r>
              <w:rPr>
                <w:rFonts w:hint="eastAsia"/>
                <w:kern w:val="0"/>
                <w:sz w:val="20"/>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000" w:type="pct"/>
            <w:gridSpan w:val="4"/>
            <w:tcBorders>
              <w:top w:val="single" w:color="auto" w:sz="4" w:space="0"/>
              <w:left w:val="single" w:color="auto" w:sz="4" w:space="0"/>
              <w:bottom w:val="single" w:color="auto" w:sz="4" w:space="0"/>
              <w:right w:val="single" w:color="auto" w:sz="4" w:space="0"/>
            </w:tcBorders>
            <w:vAlign w:val="center"/>
          </w:tcPr>
          <w:p>
            <w:pPr>
              <w:overflowPunct w:val="0"/>
              <w:topLinePunct/>
              <w:spacing w:line="280" w:lineRule="exact"/>
              <w:rPr>
                <w:rFonts w:eastAsia="黑体"/>
                <w:spacing w:val="0"/>
                <w:sz w:val="20"/>
              </w:rPr>
            </w:pPr>
            <w:r>
              <w:rPr>
                <w:rFonts w:hint="eastAsia" w:eastAsia="黑体"/>
                <w:spacing w:val="0"/>
                <w:sz w:val="20"/>
              </w:rPr>
              <w:t>备注</w:t>
            </w:r>
            <w:r>
              <w:rPr>
                <w:rFonts w:hint="eastAsia" w:eastAsia="黑体"/>
                <w:spacing w:val="0"/>
                <w:sz w:val="20"/>
                <w:vertAlign w:val="superscript"/>
              </w:rPr>
              <w:t>【1】</w:t>
            </w:r>
            <w:r>
              <w:rPr>
                <w:rFonts w:hint="eastAsia" w:eastAsia="黑体"/>
                <w:spacing w:val="0"/>
                <w:sz w:val="20"/>
              </w:rPr>
              <w:t>：燃气锅炉在PM稳定达到排放限值情况下可不采用除尘工艺。</w:t>
            </w:r>
          </w:p>
          <w:p>
            <w:pPr>
              <w:overflowPunct w:val="0"/>
              <w:topLinePunct/>
              <w:spacing w:line="280" w:lineRule="exact"/>
              <w:rPr>
                <w:rFonts w:eastAsia="黑体"/>
                <w:spacing w:val="0"/>
                <w:sz w:val="20"/>
              </w:rPr>
            </w:pPr>
            <w:r>
              <w:rPr>
                <w:rFonts w:hint="eastAsia" w:eastAsia="黑体"/>
                <w:spacing w:val="0"/>
                <w:sz w:val="20"/>
              </w:rPr>
              <w:t>备注</w:t>
            </w:r>
            <w:r>
              <w:rPr>
                <w:rFonts w:hint="eastAsia" w:eastAsia="黑体"/>
                <w:spacing w:val="0"/>
                <w:sz w:val="20"/>
                <w:vertAlign w:val="superscript"/>
              </w:rPr>
              <w:t>【2】</w:t>
            </w:r>
            <w:r>
              <w:rPr>
                <w:rFonts w:hint="eastAsia" w:eastAsia="黑体"/>
                <w:spacing w:val="0"/>
                <w:sz w:val="20"/>
              </w:rPr>
              <w:t>：温度低于800</w:t>
            </w:r>
            <w:r>
              <w:rPr>
                <w:rFonts w:hint="eastAsia" w:eastAsia="黑体" w:cs="宋体"/>
                <w:spacing w:val="0"/>
                <w:sz w:val="20"/>
              </w:rPr>
              <w:t>℃</w:t>
            </w:r>
            <w:r>
              <w:rPr>
                <w:rFonts w:hint="eastAsia" w:eastAsia="黑体"/>
                <w:spacing w:val="0"/>
                <w:sz w:val="20"/>
              </w:rPr>
              <w:t>的燃气/燃油的干燥窑、热处理窑和燃气/生物质锅炉，在稳定达到排放限值情况下可不采用</w:t>
            </w:r>
            <w:r>
              <w:rPr>
                <w:rFonts w:hint="eastAsia" w:eastAsia="黑体"/>
                <w:spacing w:val="0"/>
                <w:sz w:val="20"/>
                <w:lang w:eastAsia="zh-CN"/>
              </w:rPr>
              <w:t>脱硝</w:t>
            </w:r>
            <w:r>
              <w:rPr>
                <w:rFonts w:hint="eastAsia" w:eastAsia="黑体"/>
                <w:spacing w:val="0"/>
                <w:sz w:val="20"/>
              </w:rPr>
              <w:t>工艺。</w:t>
            </w:r>
          </w:p>
          <w:p>
            <w:pPr>
              <w:overflowPunct w:val="0"/>
              <w:topLinePunct/>
              <w:spacing w:line="280" w:lineRule="exact"/>
              <w:rPr>
                <w:rFonts w:eastAsia="黑体"/>
                <w:spacing w:val="0"/>
                <w:sz w:val="20"/>
              </w:rPr>
            </w:pPr>
            <w:r>
              <w:rPr>
                <w:rFonts w:hint="eastAsia" w:eastAsia="黑体"/>
                <w:spacing w:val="0"/>
                <w:sz w:val="20"/>
              </w:rPr>
              <w:t>备注</w:t>
            </w:r>
            <w:r>
              <w:rPr>
                <w:rFonts w:hint="eastAsia" w:eastAsia="黑体"/>
                <w:spacing w:val="0"/>
                <w:sz w:val="20"/>
                <w:vertAlign w:val="superscript"/>
              </w:rPr>
              <w:t>【3】</w:t>
            </w:r>
            <w:r>
              <w:rPr>
                <w:rFonts w:hint="eastAsia" w:eastAsia="黑体"/>
                <w:spacing w:val="0"/>
                <w:sz w:val="20"/>
              </w:rPr>
              <w:t>：采用纯生物质锅炉、窑炉，在SO</w:t>
            </w:r>
            <w:r>
              <w:rPr>
                <w:rFonts w:hint="eastAsia" w:eastAsia="黑体"/>
                <w:spacing w:val="0"/>
                <w:sz w:val="20"/>
                <w:vertAlign w:val="subscript"/>
              </w:rPr>
              <w:t>2</w:t>
            </w:r>
            <w:r>
              <w:rPr>
                <w:rFonts w:hint="eastAsia" w:eastAsia="黑体"/>
                <w:spacing w:val="0"/>
                <w:sz w:val="20"/>
              </w:rPr>
              <w:t>稳定达到排放限值情况下可不采用脱硫工艺。</w:t>
            </w:r>
          </w:p>
          <w:p>
            <w:pPr>
              <w:overflowPunct w:val="0"/>
              <w:topLinePunct/>
              <w:spacing w:line="280" w:lineRule="exact"/>
              <w:rPr>
                <w:rFonts w:hint="default" w:eastAsia="黑体"/>
                <w:spacing w:val="0"/>
                <w:sz w:val="20"/>
                <w:lang w:val="en-US" w:eastAsia="zh-CN"/>
              </w:rPr>
            </w:pPr>
            <w:r>
              <w:rPr>
                <w:rFonts w:hint="eastAsia" w:eastAsia="黑体"/>
                <w:spacing w:val="0"/>
                <w:sz w:val="20"/>
              </w:rPr>
              <w:t>备注</w:t>
            </w:r>
            <w:r>
              <w:rPr>
                <w:rFonts w:hint="eastAsia" w:eastAsia="黑体"/>
                <w:spacing w:val="0"/>
                <w:sz w:val="20"/>
                <w:vertAlign w:val="superscript"/>
              </w:rPr>
              <w:t>【</w:t>
            </w:r>
            <w:r>
              <w:rPr>
                <w:rFonts w:hint="eastAsia" w:eastAsia="黑体"/>
                <w:spacing w:val="0"/>
                <w:sz w:val="20"/>
                <w:vertAlign w:val="superscript"/>
                <w:lang w:val="en-US" w:eastAsia="zh-CN"/>
              </w:rPr>
              <w:t>4</w:t>
            </w:r>
            <w:r>
              <w:rPr>
                <w:rFonts w:hint="eastAsia" w:eastAsia="黑体"/>
                <w:spacing w:val="0"/>
                <w:sz w:val="20"/>
                <w:vertAlign w:val="superscript"/>
              </w:rPr>
              <w:t>】</w:t>
            </w:r>
            <w:r>
              <w:rPr>
                <w:rFonts w:hint="eastAsia" w:eastAsia="黑体"/>
                <w:spacing w:val="0"/>
                <w:sz w:val="20"/>
              </w:rPr>
              <w:t>：</w:t>
            </w:r>
            <w:r>
              <w:rPr>
                <w:rFonts w:hint="eastAsia" w:eastAsia="黑体"/>
                <w:spacing w:val="0"/>
                <w:sz w:val="20"/>
                <w:lang w:eastAsia="zh-CN"/>
              </w:rPr>
              <w:t>不包含生物质</w:t>
            </w:r>
            <w:r>
              <w:rPr>
                <w:rFonts w:hint="eastAsia" w:eastAsia="黑体"/>
                <w:spacing w:val="0"/>
                <w:sz w:val="20"/>
                <w:lang w:val="en-US" w:eastAsia="zh-CN"/>
              </w:rPr>
              <w:t>/垃圾焚烧发电。</w:t>
            </w:r>
          </w:p>
          <w:p>
            <w:pPr>
              <w:overflowPunct w:val="0"/>
              <w:topLinePunct/>
              <w:spacing w:line="280" w:lineRule="exact"/>
              <w:rPr>
                <w:rFonts w:eastAsia="黑体"/>
                <w:spacing w:val="0"/>
                <w:sz w:val="20"/>
              </w:rPr>
            </w:pPr>
            <w:r>
              <w:rPr>
                <w:rFonts w:hint="eastAsia" w:eastAsia="黑体"/>
                <w:spacing w:val="0"/>
                <w:sz w:val="20"/>
              </w:rPr>
              <w:t>备注</w:t>
            </w:r>
            <w:r>
              <w:rPr>
                <w:rFonts w:hint="eastAsia" w:eastAsia="黑体"/>
                <w:spacing w:val="0"/>
                <w:sz w:val="20"/>
                <w:vertAlign w:val="superscript"/>
              </w:rPr>
              <w:t>【</w:t>
            </w:r>
            <w:r>
              <w:rPr>
                <w:rFonts w:hint="eastAsia" w:eastAsia="黑体"/>
                <w:spacing w:val="0"/>
                <w:sz w:val="20"/>
                <w:vertAlign w:val="superscript"/>
                <w:lang w:val="en-US" w:eastAsia="zh-CN"/>
              </w:rPr>
              <w:t>5</w:t>
            </w:r>
            <w:r>
              <w:rPr>
                <w:rFonts w:hint="eastAsia" w:eastAsia="黑体"/>
                <w:spacing w:val="0"/>
                <w:sz w:val="20"/>
                <w:vertAlign w:val="superscript"/>
              </w:rPr>
              <w:t>】</w:t>
            </w:r>
            <w:r>
              <w:rPr>
                <w:rFonts w:hint="eastAsia" w:eastAsia="黑体"/>
                <w:spacing w:val="0"/>
                <w:sz w:val="20"/>
              </w:rPr>
              <w:t>：主要排放口按照《排污许可证申请与核发技术规范XX工业》确定。</w:t>
            </w:r>
          </w:p>
        </w:tc>
      </w:tr>
    </w:tbl>
    <w:p>
      <w:pPr>
        <w:overflowPunct w:val="0"/>
        <w:topLinePunct/>
        <w:rPr>
          <w:sz w:val="28"/>
          <w:szCs w:val="28"/>
        </w:rPr>
        <w:sectPr>
          <w:headerReference r:id="rId79" w:type="default"/>
          <w:footerReference r:id="rId81" w:type="default"/>
          <w:headerReference r:id="rId80" w:type="even"/>
          <w:footerReference r:id="rId82" w:type="even"/>
          <w:pgSz w:w="16840" w:h="11910" w:orient="landscape"/>
          <w:pgMar w:top="1588" w:right="2098" w:bottom="1474" w:left="1247" w:header="851" w:footer="992" w:gutter="0"/>
          <w:cols w:space="720" w:num="1"/>
        </w:sectPr>
      </w:pPr>
    </w:p>
    <w:p>
      <w:pPr>
        <w:overflowPunct w:val="0"/>
        <w:topLinePunct/>
        <w:spacing w:line="500" w:lineRule="exact"/>
        <w:ind w:firstLine="576" w:firstLineChars="200"/>
        <w:outlineLvl w:val="2"/>
        <w:rPr>
          <w:rFonts w:eastAsia="楷体_GB2312"/>
          <w:kern w:val="0"/>
          <w:sz w:val="30"/>
          <w:szCs w:val="30"/>
        </w:rPr>
      </w:pPr>
      <w:bookmarkStart w:id="131" w:name="_Toc16068"/>
      <w:bookmarkStart w:id="132" w:name="_Toc121413384"/>
      <w:r>
        <w:rPr>
          <w:rFonts w:eastAsia="楷体_GB2312"/>
          <w:kern w:val="0"/>
          <w:sz w:val="30"/>
          <w:szCs w:val="30"/>
        </w:rPr>
        <w:t>（三）减排措施</w:t>
      </w:r>
      <w:bookmarkEnd w:id="131"/>
      <w:bookmarkEnd w:id="132"/>
    </w:p>
    <w:p>
      <w:pPr>
        <w:overflowPunct w:val="0"/>
        <w:topLinePunct/>
        <w:spacing w:line="500" w:lineRule="exact"/>
        <w:ind w:firstLine="576" w:firstLineChars="200"/>
        <w:rPr>
          <w:sz w:val="30"/>
          <w:szCs w:val="30"/>
        </w:rPr>
      </w:pPr>
      <w:r>
        <w:rPr>
          <w:sz w:val="30"/>
          <w:szCs w:val="30"/>
        </w:rPr>
        <w:t>1、A级企业</w:t>
      </w:r>
    </w:p>
    <w:p>
      <w:pPr>
        <w:overflowPunct w:val="0"/>
        <w:topLinePunct/>
        <w:spacing w:line="500" w:lineRule="exact"/>
        <w:ind w:firstLine="576" w:firstLineChars="200"/>
        <w:rPr>
          <w:sz w:val="30"/>
          <w:szCs w:val="30"/>
        </w:rPr>
      </w:pPr>
      <w:r>
        <w:rPr>
          <w:sz w:val="30"/>
          <w:szCs w:val="30"/>
        </w:rPr>
        <w:t>鼓励结合实际，自主采取减排措施。</w:t>
      </w:r>
    </w:p>
    <w:p>
      <w:pPr>
        <w:overflowPunct w:val="0"/>
        <w:topLinePunct/>
        <w:spacing w:line="500" w:lineRule="exact"/>
        <w:ind w:firstLine="576" w:firstLineChars="200"/>
        <w:rPr>
          <w:sz w:val="30"/>
          <w:szCs w:val="30"/>
        </w:rPr>
      </w:pPr>
      <w:r>
        <w:rPr>
          <w:sz w:val="30"/>
          <w:szCs w:val="30"/>
        </w:rPr>
        <w:t>2、B级企业</w:t>
      </w:r>
    </w:p>
    <w:p>
      <w:pPr>
        <w:overflowPunct w:val="0"/>
        <w:topLinePunct/>
        <w:spacing w:line="500" w:lineRule="exact"/>
        <w:ind w:firstLine="576" w:firstLineChars="200"/>
        <w:rPr>
          <w:sz w:val="30"/>
          <w:szCs w:val="30"/>
        </w:rPr>
      </w:pPr>
      <w:r>
        <w:rPr>
          <w:sz w:val="30"/>
          <w:szCs w:val="30"/>
        </w:rPr>
        <w:t>黄色预警期间：停止使用国四及以下重型载货车辆（含燃气）进行运输。</w:t>
      </w:r>
    </w:p>
    <w:p>
      <w:pPr>
        <w:overflowPunct w:val="0"/>
        <w:topLinePunct/>
        <w:spacing w:line="500" w:lineRule="exact"/>
        <w:ind w:firstLine="576" w:firstLineChars="200"/>
        <w:rPr>
          <w:sz w:val="30"/>
          <w:szCs w:val="30"/>
        </w:rPr>
      </w:pPr>
      <w:r>
        <w:rPr>
          <w:sz w:val="30"/>
          <w:szCs w:val="30"/>
        </w:rPr>
        <w:t>橙色预警期间：使用</w:t>
      </w:r>
      <w:r>
        <w:rPr>
          <w:rFonts w:hint="default"/>
          <w:sz w:val="30"/>
          <w:szCs w:val="30"/>
          <w:lang w:val="en-US"/>
        </w:rPr>
        <w:t>电能之外</w:t>
      </w:r>
      <w:r>
        <w:rPr>
          <w:sz w:val="30"/>
          <w:szCs w:val="30"/>
        </w:rPr>
        <w:t>的锅炉/炉窑降低</w:t>
      </w:r>
      <w:r>
        <w:rPr>
          <w:rFonts w:hint="eastAsia"/>
          <w:sz w:val="30"/>
          <w:szCs w:val="30"/>
          <w:lang w:val="en-US" w:eastAsia="zh-CN"/>
        </w:rPr>
        <w:t>3</w:t>
      </w:r>
      <w:r>
        <w:rPr>
          <w:sz w:val="30"/>
          <w:szCs w:val="30"/>
        </w:rPr>
        <w:t>0%生产负荷，以设备数量计（对于仅有一台锅炉/炉窑的企业，锅炉/炉窑燃料使用量降低</w:t>
      </w:r>
      <w:r>
        <w:rPr>
          <w:rFonts w:hint="eastAsia"/>
          <w:sz w:val="30"/>
          <w:szCs w:val="30"/>
          <w:lang w:val="en-US" w:eastAsia="zh-CN"/>
        </w:rPr>
        <w:t>3</w:t>
      </w:r>
      <w:r>
        <w:rPr>
          <w:sz w:val="30"/>
          <w:szCs w:val="30"/>
        </w:rPr>
        <w:t>0%）；其余涉气工序限产</w:t>
      </w:r>
      <w:r>
        <w:rPr>
          <w:rFonts w:hint="eastAsia"/>
          <w:sz w:val="30"/>
          <w:szCs w:val="30"/>
          <w:lang w:val="en-US" w:eastAsia="zh-CN"/>
        </w:rPr>
        <w:t>3</w:t>
      </w:r>
      <w:r>
        <w:rPr>
          <w:sz w:val="30"/>
          <w:szCs w:val="30"/>
        </w:rPr>
        <w:t>0%，以生产线或生产设备计；停止使用国四及以下重型载货车辆（含燃气）进行运输。</w:t>
      </w:r>
    </w:p>
    <w:p>
      <w:pPr>
        <w:overflowPunct w:val="0"/>
        <w:topLinePunct/>
        <w:spacing w:line="500" w:lineRule="exact"/>
        <w:ind w:firstLine="576" w:firstLineChars="200"/>
        <w:rPr>
          <w:sz w:val="30"/>
          <w:szCs w:val="30"/>
        </w:rPr>
      </w:pPr>
      <w:r>
        <w:rPr>
          <w:sz w:val="30"/>
          <w:szCs w:val="30"/>
        </w:rPr>
        <w:t>红色预警期间：使用电能之外的锅炉/炉窑降低</w:t>
      </w:r>
      <w:r>
        <w:rPr>
          <w:rFonts w:hint="eastAsia"/>
          <w:sz w:val="30"/>
          <w:szCs w:val="30"/>
          <w:lang w:val="en-US" w:eastAsia="zh-CN"/>
        </w:rPr>
        <w:t>5</w:t>
      </w:r>
      <w:r>
        <w:rPr>
          <w:sz w:val="30"/>
          <w:szCs w:val="30"/>
        </w:rPr>
        <w:t>0%生产负荷，以设备数量计（对于仅有一台锅炉/炉窑的企业，锅炉/炉窑燃料使用量降低</w:t>
      </w:r>
      <w:r>
        <w:rPr>
          <w:rFonts w:hint="eastAsia"/>
          <w:sz w:val="30"/>
          <w:szCs w:val="30"/>
          <w:lang w:val="en-US" w:eastAsia="zh-CN"/>
        </w:rPr>
        <w:t>5</w:t>
      </w:r>
      <w:r>
        <w:rPr>
          <w:sz w:val="30"/>
          <w:szCs w:val="30"/>
        </w:rPr>
        <w:t>0%）；其余涉气工序限产</w:t>
      </w:r>
      <w:r>
        <w:rPr>
          <w:rFonts w:hint="eastAsia"/>
          <w:sz w:val="30"/>
          <w:szCs w:val="30"/>
          <w:lang w:val="en-US" w:eastAsia="zh-CN"/>
        </w:rPr>
        <w:t>5</w:t>
      </w:r>
      <w:r>
        <w:rPr>
          <w:sz w:val="30"/>
          <w:szCs w:val="30"/>
        </w:rPr>
        <w:t>0%，以生产线或生产设备计；停止使用国四及以下重型载货车辆（含燃气）进行运输。</w:t>
      </w:r>
    </w:p>
    <w:p>
      <w:pPr>
        <w:overflowPunct w:val="0"/>
        <w:topLinePunct/>
        <w:spacing w:line="500" w:lineRule="exact"/>
        <w:ind w:firstLine="576" w:firstLineChars="200"/>
        <w:rPr>
          <w:sz w:val="30"/>
          <w:szCs w:val="30"/>
        </w:rPr>
      </w:pPr>
      <w:r>
        <w:rPr>
          <w:sz w:val="30"/>
          <w:szCs w:val="30"/>
        </w:rPr>
        <w:t>3、C级企业</w:t>
      </w:r>
    </w:p>
    <w:p>
      <w:pPr>
        <w:overflowPunct w:val="0"/>
        <w:topLinePunct/>
        <w:spacing w:line="500" w:lineRule="exact"/>
        <w:ind w:firstLine="576" w:firstLineChars="200"/>
        <w:rPr>
          <w:rFonts w:eastAsia="宋体"/>
          <w:sz w:val="28"/>
          <w:szCs w:val="28"/>
        </w:rPr>
      </w:pPr>
      <w:r>
        <w:rPr>
          <w:sz w:val="30"/>
          <w:szCs w:val="30"/>
        </w:rPr>
        <w:t>黄色预警期间：使用电能之外的锅炉/炉窑降低</w:t>
      </w:r>
      <w:r>
        <w:rPr>
          <w:rFonts w:hint="eastAsia"/>
          <w:sz w:val="30"/>
          <w:szCs w:val="30"/>
          <w:lang w:val="en-US" w:eastAsia="zh-CN"/>
        </w:rPr>
        <w:t>3</w:t>
      </w:r>
      <w:r>
        <w:rPr>
          <w:sz w:val="30"/>
          <w:szCs w:val="30"/>
        </w:rPr>
        <w:t>0%生产负荷，以设备数量计（对于仅有一台锅炉/炉窑的企业，锅炉/炉窑燃料使用量降低</w:t>
      </w:r>
      <w:r>
        <w:rPr>
          <w:rFonts w:hint="eastAsia"/>
          <w:sz w:val="30"/>
          <w:szCs w:val="30"/>
          <w:lang w:val="en-US" w:eastAsia="zh-CN"/>
        </w:rPr>
        <w:t>3</w:t>
      </w:r>
      <w:r>
        <w:rPr>
          <w:sz w:val="30"/>
          <w:szCs w:val="30"/>
        </w:rPr>
        <w:t>0%）；其余涉气工序限产</w:t>
      </w:r>
      <w:r>
        <w:rPr>
          <w:rFonts w:hint="eastAsia"/>
          <w:sz w:val="30"/>
          <w:szCs w:val="30"/>
          <w:lang w:val="en-US" w:eastAsia="zh-CN"/>
        </w:rPr>
        <w:t>3</w:t>
      </w:r>
      <w:r>
        <w:rPr>
          <w:sz w:val="30"/>
          <w:szCs w:val="30"/>
        </w:rPr>
        <w:t>0%，以生产线或生产设备计；停止使用国四及以下重型载货车辆（含燃气）进行运输。</w:t>
      </w:r>
    </w:p>
    <w:p>
      <w:pPr>
        <w:overflowPunct w:val="0"/>
        <w:topLinePunct/>
        <w:spacing w:line="500" w:lineRule="exact"/>
        <w:ind w:firstLine="576" w:firstLineChars="200"/>
        <w:rPr>
          <w:sz w:val="30"/>
          <w:szCs w:val="30"/>
        </w:rPr>
      </w:pPr>
      <w:r>
        <w:rPr>
          <w:sz w:val="30"/>
          <w:szCs w:val="30"/>
        </w:rPr>
        <w:t>橙色预警期间：使用电能之外的锅炉/炉窑降低</w:t>
      </w:r>
      <w:r>
        <w:rPr>
          <w:rFonts w:hint="eastAsia"/>
          <w:sz w:val="30"/>
          <w:szCs w:val="30"/>
          <w:lang w:val="en-US" w:eastAsia="zh-CN"/>
        </w:rPr>
        <w:t>5</w:t>
      </w:r>
      <w:r>
        <w:rPr>
          <w:sz w:val="30"/>
          <w:szCs w:val="30"/>
        </w:rPr>
        <w:t>0%生产负荷，以设备数量计（对于仅有一台锅炉/炉窑的企业，锅炉/炉窑燃料使用量降低</w:t>
      </w:r>
      <w:r>
        <w:rPr>
          <w:rFonts w:hint="eastAsia"/>
          <w:sz w:val="30"/>
          <w:szCs w:val="30"/>
          <w:lang w:val="en-US" w:eastAsia="zh-CN"/>
        </w:rPr>
        <w:t>5</w:t>
      </w:r>
      <w:r>
        <w:rPr>
          <w:sz w:val="30"/>
          <w:szCs w:val="30"/>
        </w:rPr>
        <w:t>0%）；其余涉气工序限产</w:t>
      </w:r>
      <w:r>
        <w:rPr>
          <w:rFonts w:hint="eastAsia"/>
          <w:sz w:val="30"/>
          <w:szCs w:val="30"/>
          <w:lang w:val="en-US" w:eastAsia="zh-CN"/>
        </w:rPr>
        <w:t>5</w:t>
      </w:r>
      <w:r>
        <w:rPr>
          <w:sz w:val="30"/>
          <w:szCs w:val="30"/>
        </w:rPr>
        <w:t>0%，以生产线或生产设备计；停止使用国四及以下重型载货车辆（含燃气）进行运输。</w:t>
      </w:r>
    </w:p>
    <w:p>
      <w:pPr>
        <w:overflowPunct w:val="0"/>
        <w:topLinePunct/>
        <w:spacing w:line="500" w:lineRule="exact"/>
        <w:ind w:firstLine="576" w:firstLineChars="200"/>
        <w:rPr>
          <w:rFonts w:eastAsia="宋体"/>
          <w:sz w:val="28"/>
          <w:szCs w:val="28"/>
        </w:rPr>
      </w:pPr>
      <w:r>
        <w:rPr>
          <w:sz w:val="30"/>
          <w:szCs w:val="30"/>
        </w:rPr>
        <w:t>红色预警期间：所有涉气工序停产。停止使用国四及以下重型载货车辆（含燃气）进行运输。</w:t>
      </w:r>
    </w:p>
    <w:p>
      <w:pPr>
        <w:overflowPunct w:val="0"/>
        <w:topLinePunct/>
        <w:spacing w:line="500" w:lineRule="exact"/>
        <w:ind w:firstLine="576" w:firstLineChars="200"/>
        <w:rPr>
          <w:sz w:val="30"/>
          <w:szCs w:val="30"/>
        </w:rPr>
      </w:pPr>
      <w:r>
        <w:rPr>
          <w:sz w:val="30"/>
          <w:szCs w:val="30"/>
        </w:rPr>
        <w:t>4.备注</w:t>
      </w:r>
    </w:p>
    <w:p>
      <w:pPr>
        <w:tabs>
          <w:tab w:val="left" w:pos="1737"/>
        </w:tabs>
        <w:overflowPunct w:val="0"/>
        <w:topLinePunct/>
        <w:spacing w:line="500" w:lineRule="exact"/>
        <w:ind w:firstLine="600" w:firstLineChars="200"/>
        <w:rPr>
          <w:rFonts w:hint="default" w:eastAsia="仿宋_GB2312"/>
          <w:spacing w:val="0"/>
          <w:sz w:val="30"/>
          <w:szCs w:val="30"/>
          <w:lang w:val="en-US" w:eastAsia="zh-CN"/>
        </w:rPr>
      </w:pPr>
      <w:r>
        <w:rPr>
          <w:rFonts w:hint="eastAsia"/>
          <w:spacing w:val="0"/>
          <w:sz w:val="30"/>
          <w:szCs w:val="30"/>
          <w:lang w:eastAsia="zh-CN"/>
        </w:rPr>
        <w:t>（</w:t>
      </w:r>
      <w:r>
        <w:rPr>
          <w:rFonts w:hint="eastAsia"/>
          <w:spacing w:val="0"/>
          <w:sz w:val="30"/>
          <w:szCs w:val="30"/>
          <w:lang w:val="en-US" w:eastAsia="zh-CN"/>
        </w:rPr>
        <w:t>1</w:t>
      </w:r>
      <w:r>
        <w:rPr>
          <w:rFonts w:hint="eastAsia"/>
          <w:spacing w:val="0"/>
          <w:sz w:val="30"/>
          <w:szCs w:val="30"/>
          <w:lang w:eastAsia="zh-CN"/>
        </w:rPr>
        <w:t>）</w:t>
      </w:r>
      <w:r>
        <w:rPr>
          <w:rFonts w:hint="eastAsia"/>
          <w:spacing w:val="0"/>
          <w:sz w:val="30"/>
          <w:szCs w:val="30"/>
          <w:lang w:val="en-US" w:eastAsia="zh-CN"/>
        </w:rPr>
        <w:t>燃气锅炉</w:t>
      </w:r>
      <w:r>
        <w:rPr>
          <w:rFonts w:hint="eastAsia"/>
          <w:spacing w:val="0"/>
          <w:sz w:val="30"/>
          <w:szCs w:val="30"/>
          <w:lang w:eastAsia="zh-CN"/>
        </w:rPr>
        <w:t>污染物排放浓度稳定达到</w:t>
      </w:r>
      <w:r>
        <w:rPr>
          <w:rFonts w:hint="eastAsia"/>
          <w:spacing w:val="0"/>
          <w:sz w:val="30"/>
          <w:szCs w:val="30"/>
          <w:lang w:val="en-US" w:eastAsia="zh-CN"/>
        </w:rPr>
        <w:t>A级排放限值的，在预警期间可不降低生产负荷。</w:t>
      </w:r>
    </w:p>
    <w:p>
      <w:pPr>
        <w:tabs>
          <w:tab w:val="left" w:pos="1737"/>
        </w:tabs>
        <w:overflowPunct w:val="0"/>
        <w:topLinePunct/>
        <w:spacing w:line="500" w:lineRule="exact"/>
        <w:ind w:firstLine="600" w:firstLineChars="200"/>
        <w:rPr>
          <w:rFonts w:eastAsia="等线"/>
          <w:spacing w:val="0"/>
          <w:sz w:val="28"/>
          <w:szCs w:val="28"/>
        </w:rPr>
      </w:pPr>
      <w:r>
        <w:rPr>
          <w:rFonts w:hint="eastAsia"/>
          <w:spacing w:val="0"/>
          <w:sz w:val="30"/>
          <w:szCs w:val="30"/>
          <w:lang w:eastAsia="zh-CN"/>
        </w:rPr>
        <w:t>（</w:t>
      </w:r>
      <w:r>
        <w:rPr>
          <w:rFonts w:hint="eastAsia"/>
          <w:spacing w:val="0"/>
          <w:sz w:val="30"/>
          <w:szCs w:val="30"/>
          <w:lang w:val="en-US" w:eastAsia="zh-CN"/>
        </w:rPr>
        <w:t>2</w:t>
      </w:r>
      <w:r>
        <w:rPr>
          <w:rFonts w:hint="eastAsia"/>
          <w:spacing w:val="0"/>
          <w:sz w:val="30"/>
          <w:szCs w:val="30"/>
          <w:lang w:eastAsia="zh-CN"/>
        </w:rPr>
        <w:t>）</w:t>
      </w:r>
      <w:r>
        <w:rPr>
          <w:spacing w:val="0"/>
          <w:sz w:val="30"/>
          <w:szCs w:val="30"/>
        </w:rPr>
        <w:t>针对短时间内难以停产的企业，建议在重污染频发的秋冬季期间，提前调整生产计划，确保预警期间企业能够落实应急减排措施。</w:t>
      </w:r>
    </w:p>
    <w:p>
      <w:pPr>
        <w:overflowPunct w:val="0"/>
        <w:topLinePunct/>
        <w:spacing w:line="500" w:lineRule="exact"/>
        <w:ind w:firstLine="576" w:firstLineChars="200"/>
        <w:outlineLvl w:val="2"/>
        <w:rPr>
          <w:rFonts w:eastAsia="楷体_GB2312"/>
          <w:kern w:val="0"/>
          <w:sz w:val="30"/>
          <w:szCs w:val="30"/>
        </w:rPr>
      </w:pPr>
      <w:bookmarkStart w:id="133" w:name="_Toc121413385"/>
      <w:bookmarkStart w:id="134" w:name="_Toc1660"/>
      <w:r>
        <w:rPr>
          <w:rFonts w:eastAsia="楷体_GB2312"/>
          <w:kern w:val="0"/>
          <w:sz w:val="30"/>
          <w:szCs w:val="30"/>
        </w:rPr>
        <w:t>（四）核查方法</w:t>
      </w:r>
      <w:bookmarkEnd w:id="133"/>
      <w:bookmarkEnd w:id="134"/>
    </w:p>
    <w:p>
      <w:pPr>
        <w:overflowPunct w:val="0"/>
        <w:topLinePunct/>
        <w:spacing w:line="500" w:lineRule="exact"/>
        <w:ind w:firstLine="576" w:firstLineChars="200"/>
        <w:rPr>
          <w:sz w:val="30"/>
          <w:szCs w:val="30"/>
        </w:rPr>
      </w:pPr>
      <w:r>
        <w:rPr>
          <w:sz w:val="30"/>
          <w:szCs w:val="30"/>
        </w:rPr>
        <w:t>1、电量分析：调取企业用电量情况，</w:t>
      </w:r>
      <w:r>
        <w:rPr>
          <w:rFonts w:hint="eastAsia"/>
          <w:sz w:val="30"/>
          <w:szCs w:val="30"/>
          <w:lang w:eastAsia="zh-CN"/>
        </w:rPr>
        <w:t>分析历史预警前后</w:t>
      </w:r>
      <w:r>
        <w:rPr>
          <w:sz w:val="30"/>
          <w:szCs w:val="30"/>
        </w:rPr>
        <w:t>企业用电量变化，比对采取减排措施期间的用电量</w:t>
      </w:r>
      <w:r>
        <w:rPr>
          <w:spacing w:val="0"/>
          <w:sz w:val="30"/>
          <w:szCs w:val="30"/>
        </w:rPr>
        <w:t>是否明显下降</w:t>
      </w:r>
      <w:r>
        <w:rPr>
          <w:sz w:val="30"/>
          <w:szCs w:val="30"/>
        </w:rPr>
        <w:t>。</w:t>
      </w:r>
    </w:p>
    <w:p>
      <w:pPr>
        <w:overflowPunct w:val="0"/>
        <w:topLinePunct/>
        <w:spacing w:line="500" w:lineRule="exact"/>
        <w:ind w:firstLine="576" w:firstLineChars="200"/>
        <w:rPr>
          <w:sz w:val="30"/>
          <w:szCs w:val="30"/>
        </w:rPr>
      </w:pPr>
      <w:r>
        <w:rPr>
          <w:sz w:val="30"/>
          <w:szCs w:val="30"/>
        </w:rPr>
        <w:t>2、现场核查：重点核查企业涉气设施停限产情况，核查污染治理设施的运行稳定性。</w:t>
      </w:r>
    </w:p>
    <w:p>
      <w:pPr>
        <w:overflowPunct w:val="0"/>
        <w:topLinePunct/>
        <w:spacing w:line="500" w:lineRule="exact"/>
        <w:ind w:firstLine="576" w:firstLineChars="200"/>
        <w:rPr>
          <w:rFonts w:eastAsia="宋体"/>
          <w:sz w:val="28"/>
          <w:szCs w:val="28"/>
        </w:rPr>
      </w:pPr>
      <w:r>
        <w:rPr>
          <w:sz w:val="30"/>
          <w:szCs w:val="30"/>
        </w:rPr>
        <w:t>3、台账核查：重点核查生产设施燃料使用量、生产负荷变化记录表；核查企业生产台账记录。</w:t>
      </w:r>
    </w:p>
    <w:p>
      <w:pPr>
        <w:spacing w:line="500" w:lineRule="exact"/>
        <w:ind w:firstLine="600" w:firstLineChars="200"/>
        <w:rPr>
          <w:rFonts w:eastAsia="等线"/>
          <w:spacing w:val="0"/>
          <w:sz w:val="21"/>
          <w:szCs w:val="22"/>
        </w:rPr>
      </w:pPr>
      <w:r>
        <w:rPr>
          <w:spacing w:val="0"/>
          <w:sz w:val="30"/>
          <w:szCs w:val="30"/>
        </w:rPr>
        <w:t>4、运输核查：调取厂区</w:t>
      </w:r>
      <w:r>
        <w:rPr>
          <w:sz w:val="30"/>
          <w:szCs w:val="30"/>
        </w:rPr>
        <w:t>货运进出口视频监控</w:t>
      </w:r>
      <w:r>
        <w:rPr>
          <w:spacing w:val="0"/>
          <w:sz w:val="30"/>
          <w:szCs w:val="30"/>
        </w:rPr>
        <w:t>记录，比对预警前后厂区</w:t>
      </w:r>
      <w:r>
        <w:rPr>
          <w:rFonts w:hint="eastAsia"/>
          <w:spacing w:val="0"/>
          <w:sz w:val="30"/>
          <w:szCs w:val="30"/>
          <w:lang w:eastAsia="zh-CN"/>
        </w:rPr>
        <w:t>汽车运输情况，检查</w:t>
      </w:r>
      <w:r>
        <w:rPr>
          <w:spacing w:val="0"/>
          <w:sz w:val="30"/>
          <w:szCs w:val="30"/>
        </w:rPr>
        <w:t>是否符合要求；现场抽查</w:t>
      </w:r>
      <w:r>
        <w:rPr>
          <w:rFonts w:hint="eastAsia"/>
          <w:spacing w:val="0"/>
          <w:sz w:val="30"/>
          <w:szCs w:val="30"/>
          <w:lang w:eastAsia="zh-CN"/>
        </w:rPr>
        <w:t>运输</w:t>
      </w:r>
      <w:r>
        <w:rPr>
          <w:spacing w:val="0"/>
          <w:sz w:val="30"/>
          <w:szCs w:val="30"/>
        </w:rPr>
        <w:t>车辆</w:t>
      </w:r>
      <w:r>
        <w:rPr>
          <w:rFonts w:hint="eastAsia"/>
          <w:spacing w:val="0"/>
          <w:sz w:val="30"/>
          <w:szCs w:val="30"/>
          <w:lang w:eastAsia="zh-CN"/>
        </w:rPr>
        <w:t>，</w:t>
      </w:r>
      <w:r>
        <w:rPr>
          <w:spacing w:val="0"/>
          <w:sz w:val="30"/>
          <w:szCs w:val="30"/>
        </w:rPr>
        <w:t>核查排放</w:t>
      </w:r>
      <w:r>
        <w:rPr>
          <w:rFonts w:hint="eastAsia"/>
          <w:spacing w:val="0"/>
          <w:sz w:val="30"/>
          <w:szCs w:val="30"/>
          <w:lang w:eastAsia="zh-CN"/>
        </w:rPr>
        <w:t>标准</w:t>
      </w:r>
      <w:r>
        <w:rPr>
          <w:spacing w:val="0"/>
          <w:sz w:val="30"/>
          <w:szCs w:val="30"/>
        </w:rPr>
        <w:t>是否符合要求。</w:t>
      </w:r>
    </w:p>
    <w:p>
      <w:pPr>
        <w:autoSpaceDN w:val="0"/>
        <w:adjustRightInd w:val="0"/>
        <w:spacing w:line="240" w:lineRule="auto"/>
        <w:jc w:val="left"/>
      </w:pPr>
    </w:p>
    <w:p>
      <w:pPr>
        <w:autoSpaceDN w:val="0"/>
        <w:adjustRightInd w:val="0"/>
        <w:spacing w:line="240" w:lineRule="auto"/>
        <w:jc w:val="left"/>
        <w:sectPr>
          <w:headerReference r:id="rId83" w:type="default"/>
          <w:footerReference r:id="rId85" w:type="default"/>
          <w:headerReference r:id="rId84" w:type="even"/>
          <w:footerReference r:id="rId86" w:type="even"/>
          <w:pgSz w:w="11906" w:h="16838"/>
          <w:pgMar w:top="2098" w:right="1474" w:bottom="1247" w:left="1588" w:header="851" w:footer="992" w:gutter="0"/>
          <w:cols w:space="425" w:num="1"/>
          <w:docGrid w:type="lines" w:linePitch="312" w:charSpace="0"/>
        </w:sect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rPr>
          <w:rFonts w:eastAsia="黑体"/>
        </w:rPr>
      </w:pPr>
    </w:p>
    <w:p>
      <w:pPr>
        <w:autoSpaceDN w:val="0"/>
        <w:adjustRightInd w:val="0"/>
        <w:spacing w:line="600" w:lineRule="exact"/>
        <w:jc w:val="left"/>
      </w:pPr>
    </w:p>
    <w:sectPr>
      <w:footerReference r:id="rId87" w:type="even"/>
      <w:pgSz w:w="11906" w:h="16838"/>
      <w:pgMar w:top="2098" w:right="1474" w:bottom="1247"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Times New Roman Bold Italic">
    <w:altName w:val="Times New Roman"/>
    <w:panose1 w:val="02020603050405020304"/>
    <w:charset w:val="00"/>
    <w:family w:val="auto"/>
    <w:pitch w:val="default"/>
    <w:sig w:usb0="00000000" w:usb1="00000000" w:usb2="00000000" w:usb3="00000000" w:csb0="00000000" w:csb1="00000000"/>
  </w:font>
  <w:font w:name="微软雅黑">
    <w:panose1 w:val="02000000000000000000"/>
    <w:charset w:val="86"/>
    <w:family w:val="auto"/>
    <w:pitch w:val="default"/>
    <w:sig w:usb0="00000001" w:usb1="28CF0000" w:usb2="00000016"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firstLine="56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20</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eastAsia="宋体"/>
        <w:sz w:val="18"/>
        <w:szCs w:val="18"/>
      </w:rPr>
    </w:pPr>
    <w:r>
      <w:rPr>
        <w:rFonts w:eastAsia="宋体"/>
        <w:sz w:val="18"/>
        <w:szCs w:val="18"/>
      </w:rPr>
      <mc:AlternateContent>
        <mc:Choice Requires="wps">
          <w:drawing>
            <wp:anchor distT="0" distB="0" distL="114300" distR="114300" simplePos="0" relativeHeight="251659264" behindDoc="1" locked="0" layoutInCell="1" allowOverlap="1">
              <wp:simplePos x="0" y="0"/>
              <wp:positionH relativeFrom="column">
                <wp:posOffset>-498475</wp:posOffset>
              </wp:positionH>
              <wp:positionV relativeFrom="paragraph">
                <wp:posOffset>-1735455</wp:posOffset>
              </wp:positionV>
              <wp:extent cx="670560" cy="1705610"/>
              <wp:effectExtent l="4445" t="4445" r="10795" b="17145"/>
              <wp:wrapNone/>
              <wp:docPr id="11" name="文本框 28"/>
              <wp:cNvGraphicFramePr/>
              <a:graphic xmlns:a="http://schemas.openxmlformats.org/drawingml/2006/main">
                <a:graphicData uri="http://schemas.microsoft.com/office/word/2010/wordprocessingShape">
                  <wps:wsp>
                    <wps:cNvSpPr/>
                    <wps:spPr>
                      <a:xfrm>
                        <a:off x="0" y="0"/>
                        <a:ext cx="670560" cy="17056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23</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28" o:spid="_x0000_s1026" o:spt="1" style="position:absolute;left:0pt;margin-left:-39.25pt;margin-top:-136.65pt;height:134.3pt;width:52.8pt;z-index:-251657216;mso-width-relative:margin;mso-height-relative:page;mso-width-percent:400;" fillcolor="#FFFFFF" filled="t" stroked="t" coordsize="21600,21600" o:gfxdata="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jd/KnNgAAAAKAQAADwAAAAAAAAAB&#10;ACAAAAA4AAAAZHJzL2Rvd25yZXYueG1sUEsBAhQAFAAAAAgAh07iQHfKQfb6AQAACQQAAA4AAAAA&#10;AAAAAQAgAAAAPQEAAGRycy9lMm9Eb2MueG1sUEsFBgAAAAAGAAYAWQEAAKkFA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23</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eastAsia="宋体"/>
        <w:sz w:val="18"/>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25</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26</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line="14" w:lineRule="auto"/>
      <w:rPr>
        <w:rFonts w:eastAsia="宋体"/>
        <w:sz w:val="12"/>
        <w:szCs w:val="22"/>
      </w:rPr>
    </w:pPr>
    <w:r>
      <w:rPr>
        <w:rFonts w:eastAsia="宋体"/>
        <w:sz w:val="12"/>
        <w:szCs w:val="22"/>
      </w:rPr>
      <mc:AlternateContent>
        <mc:Choice Requires="wps">
          <w:drawing>
            <wp:anchor distT="0" distB="0" distL="114300" distR="114300" simplePos="0" relativeHeight="251659264" behindDoc="1" locked="0" layoutInCell="1" allowOverlap="1">
              <wp:simplePos x="0" y="0"/>
              <wp:positionH relativeFrom="column">
                <wp:posOffset>-498475</wp:posOffset>
              </wp:positionH>
              <wp:positionV relativeFrom="paragraph">
                <wp:posOffset>-1717675</wp:posOffset>
              </wp:positionV>
              <wp:extent cx="670560" cy="1482090"/>
              <wp:effectExtent l="4445" t="4445" r="10795" b="12065"/>
              <wp:wrapNone/>
              <wp:docPr id="13" name="文本框 27"/>
              <wp:cNvGraphicFramePr/>
              <a:graphic xmlns:a="http://schemas.openxmlformats.org/drawingml/2006/main">
                <a:graphicData uri="http://schemas.microsoft.com/office/word/2010/wordprocessingShape">
                  <wps:wsp>
                    <wps:cNvSpPr/>
                    <wps:spPr>
                      <a:xfrm>
                        <a:off x="0" y="0"/>
                        <a:ext cx="670560" cy="14820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27</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27" o:spid="_x0000_s1026" o:spt="1" style="position:absolute;left:0pt;margin-left:-39.25pt;margin-top:-135.25pt;height:116.7pt;width:52.8pt;z-index:-251657216;mso-width-relative:margin;mso-height-relative:page;mso-width-percent:400;" fillcolor="#FFFFFF" filled="t" stroked="t" coordsize="21600,21600" o:gfxdata="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XAluptcAAAALAQAADwAAAAAA&#10;AAABACAAAAA4AAAAZHJzL2Rvd25yZXYueG1sUEsBAhQAFAAAAAgAh07iQEANz6T+AQAACQQAAA4A&#10;AAAAAAAAAQAgAAAAPAEAAGRycy9lMm9Eb2MueG1sUEsFBgAAAAAGAAYAWQEAAKwFA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27</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eastAsia="宋体"/>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31</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32</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eastAsia="宋体"/>
        <w:sz w:val="18"/>
        <w:szCs w:val="18"/>
      </w:rPr>
    </w:pPr>
    <w:r>
      <w:rPr>
        <w:rFonts w:eastAsia="宋体"/>
        <w:sz w:val="18"/>
        <w:szCs w:val="18"/>
      </w:rPr>
      <mc:AlternateContent>
        <mc:Choice Requires="wps">
          <w:drawing>
            <wp:anchor distT="0" distB="0" distL="114300" distR="114300" simplePos="0" relativeHeight="251659264" behindDoc="1" locked="0" layoutInCell="1" allowOverlap="1">
              <wp:simplePos x="0" y="0"/>
              <wp:positionH relativeFrom="column">
                <wp:posOffset>-460375</wp:posOffset>
              </wp:positionH>
              <wp:positionV relativeFrom="paragraph">
                <wp:posOffset>-1483995</wp:posOffset>
              </wp:positionV>
              <wp:extent cx="670560" cy="1456055"/>
              <wp:effectExtent l="5080" t="4445" r="10160" b="12700"/>
              <wp:wrapNone/>
              <wp:docPr id="15" name="文本框 23"/>
              <wp:cNvGraphicFramePr/>
              <a:graphic xmlns:a="http://schemas.openxmlformats.org/drawingml/2006/main">
                <a:graphicData uri="http://schemas.microsoft.com/office/word/2010/wordprocessingShape">
                  <wps:wsp>
                    <wps:cNvSpPr/>
                    <wps:spPr>
                      <a:xfrm>
                        <a:off x="0" y="0"/>
                        <a:ext cx="670560" cy="145605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35</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23" o:spid="_x0000_s1026" o:spt="1" style="position:absolute;left:0pt;margin-left:-36.25pt;margin-top:-116.85pt;height:114.65pt;width:52.8pt;z-index:-251657216;mso-width-relative:margin;mso-height-relative:page;mso-width-percent:400;" fillcolor="#FFFFFF" filled="t" stroked="t" coordsize="21600,21600" o:gfxdata="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VlrgL2AAAAAoBAAAPAAAAAAAAAAEA&#10;IAAAADgAAABkcnMvZG93bnJldi54bWxQSwECFAAUAAAACACHTuJAeNsixvkBAAAJBAAADgAAAAAA&#10;AAABACAAAAA9AQAAZHJzL2Uyb0RvYy54bWxQSwUGAAAAAAYABgBZAQAAqAU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35</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eastAsia="宋体"/>
        <w:sz w:val="18"/>
        <w:szCs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eastAsia="宋体"/>
        <w:sz w:val="18"/>
        <w:szCs w:val="18"/>
      </w:rPr>
    </w:pPr>
  </w:p>
  <w:p>
    <w:pPr>
      <w:tabs>
        <w:tab w:val="center" w:pos="4153"/>
        <w:tab w:val="right" w:pos="8306"/>
      </w:tabs>
      <w:snapToGrid w:val="0"/>
      <w:ind w:left="308" w:leftChars="100" w:right="308"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37</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36</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eastAsia="宋体"/>
        <w:sz w:val="18"/>
        <w:szCs w:val="18"/>
      </w:rPr>
    </w:pPr>
    <w:r>
      <w:rPr>
        <w:rFonts w:eastAsia="宋体"/>
        <w:sz w:val="18"/>
        <w:szCs w:val="18"/>
      </w:rPr>
      <mc:AlternateContent>
        <mc:Choice Requires="wps">
          <w:drawing>
            <wp:anchor distT="0" distB="0" distL="114300" distR="114300" simplePos="0" relativeHeight="251659264" behindDoc="1" locked="0" layoutInCell="1" allowOverlap="1">
              <wp:simplePos x="0" y="0"/>
              <wp:positionH relativeFrom="column">
                <wp:posOffset>-488950</wp:posOffset>
              </wp:positionH>
              <wp:positionV relativeFrom="paragraph">
                <wp:posOffset>-1419860</wp:posOffset>
              </wp:positionV>
              <wp:extent cx="670560" cy="1399540"/>
              <wp:effectExtent l="4445" t="4445" r="10795" b="5715"/>
              <wp:wrapNone/>
              <wp:docPr id="17" name="文本框 11"/>
              <wp:cNvGraphicFramePr/>
              <a:graphic xmlns:a="http://schemas.openxmlformats.org/drawingml/2006/main">
                <a:graphicData uri="http://schemas.microsoft.com/office/word/2010/wordprocessingShape">
                  <wps:wsp>
                    <wps:cNvSpPr/>
                    <wps:spPr>
                      <a:xfrm>
                        <a:off x="0" y="0"/>
                        <a:ext cx="670560" cy="13995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39</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11" o:spid="_x0000_s1026" o:spt="1" style="position:absolute;left:0pt;margin-left:-38.5pt;margin-top:-111.8pt;height:110.2pt;width:52.8pt;z-index:-251657216;mso-width-relative:margin;mso-height-relative:page;mso-width-percent:400;" fillcolor="#FFFFFF" filled="t" stroked="t" coordsize="21600,21600" o:gfxdata="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OOy6d1wAAAAoBAAAPAAAAAAAA&#10;AAEAIAAAADgAAABkcnMvZG93bnJldi54bWxQSwECFAAUAAAACACHTuJAwBVVy/0BAAAJBAAADgAA&#10;AAAAAAABACAAAAA8AQAAZHJzL2Uyb0RvYy54bWxQSwUGAAAAAAYABgBZAQAAqwU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39</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eastAsia="宋体"/>
        <w:sz w:val="18"/>
        <w:szCs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43</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42</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eastAsia="宋体"/>
        <w:sz w:val="18"/>
        <w:szCs w:val="18"/>
      </w:rPr>
    </w:pPr>
    <w:r>
      <w:rPr>
        <w:rFonts w:eastAsia="宋体"/>
        <w:sz w:val="18"/>
        <w:szCs w:val="18"/>
      </w:rPr>
      <mc:AlternateContent>
        <mc:Choice Requires="wps">
          <w:drawing>
            <wp:anchor distT="0" distB="0" distL="114300" distR="114300" simplePos="0" relativeHeight="251659264" behindDoc="1" locked="0" layoutInCell="1" allowOverlap="1">
              <wp:simplePos x="0" y="0"/>
              <wp:positionH relativeFrom="column">
                <wp:posOffset>-450850</wp:posOffset>
              </wp:positionH>
              <wp:positionV relativeFrom="paragraph">
                <wp:posOffset>-1400810</wp:posOffset>
              </wp:positionV>
              <wp:extent cx="670560" cy="1381125"/>
              <wp:effectExtent l="4445" t="4445" r="10795" b="11430"/>
              <wp:wrapNone/>
              <wp:docPr id="19" name="文本框 14"/>
              <wp:cNvGraphicFramePr/>
              <a:graphic xmlns:a="http://schemas.openxmlformats.org/drawingml/2006/main">
                <a:graphicData uri="http://schemas.microsoft.com/office/word/2010/wordprocessingShape">
                  <wps:wsp>
                    <wps:cNvSpPr/>
                    <wps:spPr>
                      <a:xfrm>
                        <a:off x="0" y="0"/>
                        <a:ext cx="670560" cy="13811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47</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14" o:spid="_x0000_s1026" o:spt="1" style="position:absolute;left:0pt;margin-left:-35.5pt;margin-top:-110.3pt;height:108.75pt;width:52.8pt;z-index:-251657216;mso-width-relative:margin;mso-height-relative:page;mso-width-percent:400;" fillcolor="#FFFFFF" filled="t" stroked="t" coordsize="21600,21600" o:gfxdata="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IpcI+nXAAAACgEAAA8AAAAAAAAA&#10;AQAgAAAAOAAAAGRycy9kb3ducmV2LnhtbFBLAQIUABQAAAAIAIdO4kCni7yf/AEAAAkEAAAOAAAA&#10;AAAAAAEAIAAAADwBAABkcnMvZTJvRG9jLnhtbFBLBQYAAAAABgAGAFkBAACqBQ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47</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eastAsia="宋体"/>
        <w:sz w:val="18"/>
        <w:szCs w:val="18"/>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49</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line="14" w:lineRule="auto"/>
      <w:rPr>
        <w:rFonts w:eastAsia="宋体"/>
        <w:sz w:val="12"/>
        <w:szCs w:val="22"/>
      </w:rPr>
    </w:pPr>
    <w:r>
      <w:rPr>
        <w:rFonts w:eastAsia="宋体"/>
        <w:sz w:val="21"/>
        <w:szCs w:val="22"/>
      </w:rPr>
      <mc:AlternateContent>
        <mc:Choice Requires="wps">
          <w:drawing>
            <wp:anchor distT="0" distB="0" distL="114300" distR="114300" simplePos="0" relativeHeight="251659264" behindDoc="1" locked="0" layoutInCell="1" allowOverlap="1">
              <wp:simplePos x="0" y="0"/>
              <wp:positionH relativeFrom="column">
                <wp:posOffset>-488950</wp:posOffset>
              </wp:positionH>
              <wp:positionV relativeFrom="paragraph">
                <wp:posOffset>-1018540</wp:posOffset>
              </wp:positionV>
              <wp:extent cx="431165" cy="1110615"/>
              <wp:effectExtent l="4445" t="5080" r="8890" b="14605"/>
              <wp:wrapNone/>
              <wp:docPr id="7" name="文本框 29"/>
              <wp:cNvGraphicFramePr/>
              <a:graphic xmlns:a="http://schemas.openxmlformats.org/drawingml/2006/main">
                <a:graphicData uri="http://schemas.microsoft.com/office/word/2010/wordprocessingShape">
                  <wps:wsp>
                    <wps:cNvSpPr/>
                    <wps:spPr>
                      <a:xfrm>
                        <a:off x="0" y="0"/>
                        <a:ext cx="431165" cy="11106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margin">
                <wp14:pctHeight>20000</wp14:pctHeight>
              </wp14:sizeRelV>
            </wp:anchor>
          </w:drawing>
        </mc:Choice>
        <mc:Fallback>
          <w:pict>
            <v:rect id="文本框 29" o:spid="_x0000_s1026" o:spt="1" style="position:absolute;left:0pt;margin-left:-38.5pt;margin-top:-80.2pt;height:87.45pt;width:33.95pt;z-index:-251657216;mso-width-relative:margin;mso-height-relative:margin;mso-width-percent:400;mso-height-percent:200;" fillcolor="#FFFFFF" filled="t" stroked="t" coordsize="21600,21600" o:gfxdata="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7sUCHdcAAAAKAQAADwAAAAAAAAAB&#10;ACAAAAA4AAAAZHJzL2Rvd25yZXYueG1sUEsBAhQAFAAAAAgAh07iQNERLxr7AQAACAQAAA4AAAAA&#10;AAAAAQAgAAAAPAEAAGRycy9lMm9Eb2MueG1sUEsFBgAAAAAGAAYAWQEAAKkFA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50</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eastAsia="宋体"/>
        <w:sz w:val="18"/>
        <w:szCs w:val="18"/>
      </w:rPr>
    </w:pPr>
    <w:r>
      <w:rPr>
        <w:rFonts w:eastAsia="宋体"/>
        <w:sz w:val="18"/>
        <w:szCs w:val="18"/>
      </w:rPr>
      <mc:AlternateContent>
        <mc:Choice Requires="wps">
          <w:drawing>
            <wp:anchor distT="0" distB="0" distL="114300" distR="114300" simplePos="0" relativeHeight="251659264" behindDoc="1" locked="0" layoutInCell="1" allowOverlap="1">
              <wp:simplePos x="0" y="0"/>
              <wp:positionH relativeFrom="column">
                <wp:posOffset>-460375</wp:posOffset>
              </wp:positionH>
              <wp:positionV relativeFrom="paragraph">
                <wp:posOffset>-1358900</wp:posOffset>
              </wp:positionV>
              <wp:extent cx="670560" cy="1338580"/>
              <wp:effectExtent l="4445" t="4445" r="10795" b="15875"/>
              <wp:wrapNone/>
              <wp:docPr id="21" name="文本框 12"/>
              <wp:cNvGraphicFramePr/>
              <a:graphic xmlns:a="http://schemas.openxmlformats.org/drawingml/2006/main">
                <a:graphicData uri="http://schemas.microsoft.com/office/word/2010/wordprocessingShape">
                  <wps:wsp>
                    <wps:cNvSpPr/>
                    <wps:spPr>
                      <a:xfrm>
                        <a:off x="0" y="0"/>
                        <a:ext cx="670560" cy="13385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53</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12" o:spid="_x0000_s1026" o:spt="1" style="position:absolute;left:0pt;margin-left:-36.25pt;margin-top:-107pt;height:105.4pt;width:52.8pt;z-index:-251657216;mso-width-relative:margin;mso-height-relative:page;mso-width-percent:400;" fillcolor="#FFFFFF" filled="t" stroked="t" coordsize="21600,21600" o:gfxdata="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HhdSPLYAAAACgEAAA8AAAAA&#10;AAAAAQAgAAAAOAAAAGRycy9kb3ducmV2LnhtbFBLAQIUABQAAAAIAIdO4kAdGugF/gEAAAkEAAAO&#10;AAAAAAAAAAEAIAAAAD0BAABkcnMvZTJvRG9jLnhtbFBLBQYAAAAABgAGAFkBAACtBQ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53</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eastAsia="宋体"/>
        <w:sz w:val="18"/>
        <w:szCs w:val="18"/>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55</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56</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eastAsia="宋体"/>
        <w:sz w:val="18"/>
        <w:szCs w:val="18"/>
      </w:rPr>
    </w:pPr>
    <w:r>
      <w:rPr>
        <w:rFonts w:eastAsia="宋体"/>
        <w:sz w:val="18"/>
        <w:szCs w:val="18"/>
      </w:rPr>
      <mc:AlternateContent>
        <mc:Choice Requires="wps">
          <w:drawing>
            <wp:anchor distT="0" distB="0" distL="114300" distR="114300" simplePos="0" relativeHeight="251659264" behindDoc="1" locked="0" layoutInCell="1" allowOverlap="1">
              <wp:simplePos x="0" y="0"/>
              <wp:positionH relativeFrom="column">
                <wp:posOffset>-460375</wp:posOffset>
              </wp:positionH>
              <wp:positionV relativeFrom="paragraph">
                <wp:posOffset>-1644015</wp:posOffset>
              </wp:positionV>
              <wp:extent cx="670560" cy="1605280"/>
              <wp:effectExtent l="5080" t="4445" r="10160" b="15875"/>
              <wp:wrapNone/>
              <wp:docPr id="23" name="文本框 19"/>
              <wp:cNvGraphicFramePr/>
              <a:graphic xmlns:a="http://schemas.openxmlformats.org/drawingml/2006/main">
                <a:graphicData uri="http://schemas.microsoft.com/office/word/2010/wordprocessingShape">
                  <wps:wsp>
                    <wps:cNvSpPr/>
                    <wps:spPr>
                      <a:xfrm>
                        <a:off x="0" y="0"/>
                        <a:ext cx="670560" cy="16052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57</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19" o:spid="_x0000_s1026" o:spt="1" style="position:absolute;left:0pt;margin-left:-36.25pt;margin-top:-129.45pt;height:126.4pt;width:52.8pt;z-index:-251657216;mso-width-relative:margin;mso-height-relative:page;mso-width-percent:400;" fillcolor="#FFFFFF" filled="t" stroked="t" coordsize="21600,21600" o:gfxdata="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AUC7FnYAAAACgEAAA8AAAAA&#10;AAAAAQAgAAAAOAAAAGRycy9kb3ducmV2LnhtbFBLAQIUABQAAAAIAIdO4kDvKj+r/gEAAAkEAAAO&#10;AAAAAAAAAAEAIAAAAD0BAABkcnMvZTJvRG9jLnhtbFBLBQYAAAAABgAGAFkBAACtBQ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57</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eastAsia="宋体"/>
        <w:sz w:val="18"/>
        <w:szCs w:val="18"/>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right"/>
      <w:rPr>
        <w:rFonts w:ascii="宋体" w:hAnsi="宋体" w:eastAsia="宋体"/>
        <w:sz w:val="28"/>
        <w:szCs w:val="28"/>
      </w:rPr>
    </w:pPr>
    <w:r>
      <w:rPr>
        <w:rFonts w:eastAsia="宋体"/>
        <w:sz w:val="18"/>
        <w:szCs w:val="18"/>
      </w:rPr>
      <mc:AlternateContent>
        <mc:Choice Requires="wps">
          <w:drawing>
            <wp:anchor distT="0" distB="0" distL="114300" distR="114300" simplePos="0" relativeHeight="251659264" behindDoc="1" locked="0" layoutInCell="1" allowOverlap="1">
              <wp:simplePos x="0" y="0"/>
              <wp:positionH relativeFrom="page">
                <wp:posOffset>706755</wp:posOffset>
              </wp:positionH>
              <wp:positionV relativeFrom="page">
                <wp:posOffset>6807835</wp:posOffset>
              </wp:positionV>
              <wp:extent cx="89535" cy="153670"/>
              <wp:effectExtent l="0" t="0" r="0" b="0"/>
              <wp:wrapNone/>
              <wp:docPr id="25" name="文本框 21"/>
              <wp:cNvGraphicFramePr/>
              <a:graphic xmlns:a="http://schemas.openxmlformats.org/drawingml/2006/main">
                <a:graphicData uri="http://schemas.microsoft.com/office/word/2010/wordprocessingShape">
                  <wps:wsp>
                    <wps:cNvSpPr/>
                    <wps:spPr>
                      <a:xfrm>
                        <a:off x="0" y="0"/>
                        <a:ext cx="89535" cy="153670"/>
                      </a:xfrm>
                      <a:prstGeom prst="rect">
                        <a:avLst/>
                      </a:prstGeom>
                      <a:noFill/>
                      <a:ln>
                        <a:noFill/>
                      </a:ln>
                    </wps:spPr>
                    <wps:txbx>
                      <w:txbxContent>
                        <w:p>
                          <w:pPr>
                            <w:spacing w:line="242" w:lineRule="exact"/>
                            <w:ind w:left="20"/>
                            <w:rPr>
                              <w:rFonts w:ascii="等线" w:hAnsi="等线" w:eastAsia="等线"/>
                              <w:spacing w:val="0"/>
                              <w:sz w:val="20"/>
                              <w:szCs w:val="22"/>
                            </w:rPr>
                          </w:pPr>
                          <w:r>
                            <w:rPr>
                              <w:rFonts w:ascii="等线" w:hAnsi="等线" w:eastAsia="等线"/>
                              <w:spacing w:val="0"/>
                              <w:sz w:val="20"/>
                              <w:szCs w:val="22"/>
                            </w:rPr>
                            <w:t xml:space="preserve"> </w:t>
                          </w:r>
                        </w:p>
                      </w:txbxContent>
                    </wps:txbx>
                    <wps:bodyPr lIns="0" tIns="0" rIns="0" bIns="0" upright="true"/>
                  </wps:wsp>
                </a:graphicData>
              </a:graphic>
            </wp:anchor>
          </w:drawing>
        </mc:Choice>
        <mc:Fallback>
          <w:pict>
            <v:rect id="文本框 21" o:spid="_x0000_s1026" o:spt="1" style="position:absolute;left:0pt;margin-left:55.65pt;margin-top:536.05pt;height:12.1pt;width:7.05pt;mso-position-horizontal-relative:page;mso-position-vertical-relative:page;z-index:-251657216;mso-width-relative:page;mso-height-relative:page;" filled="f" stroked="f" coordsize="21600,21600" o:gfxdata="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RyxzVNwAAAANAQAADwAAAAAAAAABACAAAAA4AAAAZHJzL2Rvd25yZXYueG1sUEsBAhQAFAAA&#10;AAgAh07iQPQWiV+cAQAAHQMAAA4AAAAAAAAAAQAgAAAAQQEAAGRycy9lMm9Eb2MueG1sUEsFBgAA&#10;AAAGAAYAWQEAAE8FAAAAAA==&#10;">
              <v:fill on="f" focussize="0,0"/>
              <v:stroke on="f"/>
              <v:imagedata o:title=""/>
              <o:lock v:ext="edit" aspectratio="f"/>
              <v:textbox inset="0mm,0mm,0mm,0mm">
                <w:txbxContent>
                  <w:p>
                    <w:pPr>
                      <w:spacing w:line="242" w:lineRule="exact"/>
                      <w:ind w:left="20"/>
                      <w:rPr>
                        <w:rFonts w:ascii="等线" w:hAnsi="等线" w:eastAsia="等线"/>
                        <w:spacing w:val="0"/>
                        <w:sz w:val="20"/>
                        <w:szCs w:val="22"/>
                      </w:rPr>
                    </w:pPr>
                    <w:r>
                      <w:rPr>
                        <w:rFonts w:ascii="等线" w:hAnsi="等线" w:eastAsia="等线"/>
                        <w:spacing w:val="0"/>
                        <w:sz w:val="20"/>
                        <w:szCs w:val="22"/>
                      </w:rPr>
                      <w:t xml:space="preserve"> </w:t>
                    </w:r>
                  </w:p>
                </w:txbxContent>
              </v:textbox>
            </v:rect>
          </w:pict>
        </mc:Fallback>
      </mc:AlternateConten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59</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60</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line="14" w:lineRule="auto"/>
      <w:rPr>
        <w:rFonts w:eastAsia="宋体"/>
        <w:sz w:val="20"/>
        <w:szCs w:val="22"/>
      </w:rPr>
    </w:pPr>
    <w:r>
      <w:rPr>
        <w:rFonts w:eastAsia="宋体"/>
        <w:sz w:val="21"/>
        <w:szCs w:val="22"/>
      </w:rPr>
      <mc:AlternateContent>
        <mc:Choice Requires="wps">
          <w:drawing>
            <wp:anchor distT="0" distB="0" distL="114300" distR="114300" simplePos="0" relativeHeight="251659264" behindDoc="1" locked="0" layoutInCell="1" allowOverlap="1">
              <wp:simplePos x="0" y="0"/>
              <wp:positionH relativeFrom="column">
                <wp:posOffset>-469900</wp:posOffset>
              </wp:positionH>
              <wp:positionV relativeFrom="paragraph">
                <wp:posOffset>-1478280</wp:posOffset>
              </wp:positionV>
              <wp:extent cx="670560" cy="1449705"/>
              <wp:effectExtent l="4445" t="4445" r="10795" b="6350"/>
              <wp:wrapNone/>
              <wp:docPr id="26" name="文本框 20"/>
              <wp:cNvGraphicFramePr/>
              <a:graphic xmlns:a="http://schemas.openxmlformats.org/drawingml/2006/main">
                <a:graphicData uri="http://schemas.microsoft.com/office/word/2010/wordprocessingShape">
                  <wps:wsp>
                    <wps:cNvSpPr/>
                    <wps:spPr>
                      <a:xfrm>
                        <a:off x="0" y="0"/>
                        <a:ext cx="670560" cy="14497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63</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20" o:spid="_x0000_s1026" o:spt="1" style="position:absolute;left:0pt;margin-left:-37pt;margin-top:-116.4pt;height:114.15pt;width:52.8pt;z-index:-251657216;mso-width-relative:margin;mso-height-relative:page;mso-width-percent:400;" fillcolor="#FFFFFF" filled="t" stroked="t" coordsize="21600,21600" o:gfxdata="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Dm4BytgAAAAKAQAADwAAAAAAAAAB&#10;ACAAAAA4AAAAZHJzL2Rvd25yZXYueG1sUEsBAhQAFAAAAAgAh07iQFQ0wBL6AQAACQQAAA4AAAAA&#10;AAAAAQAgAAAAPQEAAGRycy9lMm9Eb2MueG1sUEsFBgAAAAAGAAYAWQEAAKkFA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63</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r>
      <w:rPr>
        <w:rFonts w:eastAsia="宋体"/>
        <w:sz w:val="21"/>
        <w:szCs w:val="22"/>
      </w:rPr>
      <mc:AlternateContent>
        <mc:Choice Requires="wps">
          <w:drawing>
            <wp:anchor distT="0" distB="0" distL="114300" distR="114300" simplePos="0" relativeHeight="251659264" behindDoc="1" locked="0" layoutInCell="1" allowOverlap="1">
              <wp:simplePos x="0" y="0"/>
              <wp:positionH relativeFrom="page">
                <wp:posOffset>706755</wp:posOffset>
              </wp:positionH>
              <wp:positionV relativeFrom="page">
                <wp:posOffset>6807835</wp:posOffset>
              </wp:positionV>
              <wp:extent cx="89535" cy="153670"/>
              <wp:effectExtent l="0" t="0" r="0" b="0"/>
              <wp:wrapNone/>
              <wp:docPr id="27" name="文本框 8"/>
              <wp:cNvGraphicFramePr/>
              <a:graphic xmlns:a="http://schemas.openxmlformats.org/drawingml/2006/main">
                <a:graphicData uri="http://schemas.microsoft.com/office/word/2010/wordprocessingShape">
                  <wps:wsp>
                    <wps:cNvSpPr/>
                    <wps:spPr>
                      <a:xfrm>
                        <a:off x="0" y="0"/>
                        <a:ext cx="89535" cy="153670"/>
                      </a:xfrm>
                      <a:prstGeom prst="rect">
                        <a:avLst/>
                      </a:prstGeom>
                      <a:noFill/>
                      <a:ln>
                        <a:noFill/>
                      </a:ln>
                    </wps:spPr>
                    <wps:txbx>
                      <w:txbxContent>
                        <w:p>
                          <w:pPr>
                            <w:spacing w:line="242" w:lineRule="exact"/>
                            <w:ind w:left="20"/>
                            <w:rPr>
                              <w:rFonts w:ascii="等线" w:hAnsi="等线" w:eastAsia="等线"/>
                              <w:spacing w:val="0"/>
                              <w:sz w:val="20"/>
                              <w:szCs w:val="22"/>
                            </w:rPr>
                          </w:pPr>
                          <w:r>
                            <w:rPr>
                              <w:rFonts w:ascii="等线" w:hAnsi="等线" w:eastAsia="等线"/>
                              <w:spacing w:val="0"/>
                              <w:sz w:val="20"/>
                              <w:szCs w:val="22"/>
                            </w:rPr>
                            <w:t xml:space="preserve"> </w:t>
                          </w:r>
                        </w:p>
                      </w:txbxContent>
                    </wps:txbx>
                    <wps:bodyPr lIns="0" tIns="0" rIns="0" bIns="0" upright="true"/>
                  </wps:wsp>
                </a:graphicData>
              </a:graphic>
            </wp:anchor>
          </w:drawing>
        </mc:Choice>
        <mc:Fallback>
          <w:pict>
            <v:rect id="文本框 8" o:spid="_x0000_s1026" o:spt="1" style="position:absolute;left:0pt;margin-left:55.65pt;margin-top:536.05pt;height:12.1pt;width:7.05pt;mso-position-horizontal-relative:page;mso-position-vertical-relative:page;z-index:-251657216;mso-width-relative:page;mso-height-relative:page;" filled="f" stroked="f" coordsize="21600,21600" o:gfxdata="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BHLHNU3AAAAA0BAAAPAAAAAAAAAAEAIAAAADgAAABkcnMvZG93bnJldi54bWxQSwECFAAUAAAA&#10;CACHTuJAYZk6ApsBAAAcAwAADgAAAAAAAAABACAAAABBAQAAZHJzL2Uyb0RvYy54bWxQSwUGAAAA&#10;AAYABgBZAQAATgUAAAAA&#10;">
              <v:fill on="f" focussize="0,0"/>
              <v:stroke on="f"/>
              <v:imagedata o:title=""/>
              <o:lock v:ext="edit" aspectratio="f"/>
              <v:textbox inset="0mm,0mm,0mm,0mm">
                <w:txbxContent>
                  <w:p>
                    <w:pPr>
                      <w:spacing w:line="242" w:lineRule="exact"/>
                      <w:ind w:left="20"/>
                      <w:rPr>
                        <w:rFonts w:ascii="等线" w:hAnsi="等线" w:eastAsia="等线"/>
                        <w:spacing w:val="0"/>
                        <w:sz w:val="20"/>
                        <w:szCs w:val="22"/>
                      </w:rPr>
                    </w:pPr>
                    <w:r>
                      <w:rPr>
                        <w:rFonts w:ascii="等线" w:hAnsi="等线" w:eastAsia="等线"/>
                        <w:spacing w:val="0"/>
                        <w:sz w:val="20"/>
                        <w:szCs w:val="22"/>
                      </w:rPr>
                      <w:t xml:space="preserve"> </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eastAsia="宋体"/>
        <w:sz w:val="18"/>
        <w:szCs w:val="18"/>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eastAsia="宋体"/>
        <w:sz w:val="18"/>
        <w:szCs w:val="18"/>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65</w:t>
    </w:r>
    <w:r>
      <w:rPr>
        <w:rFonts w:ascii="宋体" w:hAnsi="宋体" w:eastAsia="宋体"/>
        <w:sz w:val="28"/>
        <w:szCs w:val="28"/>
      </w:rPr>
      <w:fldChar w:fldCharType="end"/>
    </w:r>
    <w:r>
      <w:rPr>
        <w:rFonts w:hint="eastAsia" w:ascii="宋体" w:hAnsi="宋体" w:eastAsia="宋体"/>
        <w:sz w:val="28"/>
        <w:szCs w:val="28"/>
      </w:rPr>
      <w:t xml:space="preserve"> —</w:t>
    </w:r>
  </w:p>
  <w:p>
    <w:pPr>
      <w:spacing w:after="120" w:line="14" w:lineRule="auto"/>
      <w:jc w:val="right"/>
      <w:rPr>
        <w:rFonts w:eastAsia="宋体"/>
        <w:sz w:val="20"/>
        <w:szCs w:val="22"/>
      </w:rPr>
    </w:pPr>
    <w:r>
      <w:rPr>
        <w:rFonts w:eastAsia="宋体"/>
        <w:sz w:val="21"/>
        <w:szCs w:val="22"/>
      </w:rPr>
      <mc:AlternateContent>
        <mc:Choice Requires="wps">
          <w:drawing>
            <wp:anchor distT="0" distB="0" distL="114300" distR="114300" simplePos="0" relativeHeight="251659264" behindDoc="1" locked="0" layoutInCell="1" allowOverlap="1">
              <wp:simplePos x="0" y="0"/>
              <wp:positionH relativeFrom="page">
                <wp:posOffset>706755</wp:posOffset>
              </wp:positionH>
              <wp:positionV relativeFrom="page">
                <wp:posOffset>6807835</wp:posOffset>
              </wp:positionV>
              <wp:extent cx="89535" cy="153670"/>
              <wp:effectExtent l="0" t="0" r="0" b="0"/>
              <wp:wrapNone/>
              <wp:docPr id="29" name="文本框 10"/>
              <wp:cNvGraphicFramePr/>
              <a:graphic xmlns:a="http://schemas.openxmlformats.org/drawingml/2006/main">
                <a:graphicData uri="http://schemas.microsoft.com/office/word/2010/wordprocessingShape">
                  <wps:wsp>
                    <wps:cNvSpPr/>
                    <wps:spPr>
                      <a:xfrm>
                        <a:off x="0" y="0"/>
                        <a:ext cx="89535" cy="153670"/>
                      </a:xfrm>
                      <a:prstGeom prst="rect">
                        <a:avLst/>
                      </a:prstGeom>
                      <a:noFill/>
                      <a:ln>
                        <a:noFill/>
                      </a:ln>
                    </wps:spPr>
                    <wps:txbx>
                      <w:txbxContent>
                        <w:p>
                          <w:pPr>
                            <w:spacing w:line="242" w:lineRule="exact"/>
                            <w:ind w:left="20"/>
                            <w:rPr>
                              <w:rFonts w:ascii="等线" w:hAnsi="等线" w:eastAsia="等线"/>
                              <w:spacing w:val="0"/>
                              <w:sz w:val="20"/>
                              <w:szCs w:val="22"/>
                            </w:rPr>
                          </w:pPr>
                          <w:r>
                            <w:rPr>
                              <w:rFonts w:ascii="等线" w:hAnsi="等线" w:eastAsia="等线"/>
                              <w:spacing w:val="0"/>
                              <w:sz w:val="20"/>
                              <w:szCs w:val="22"/>
                            </w:rPr>
                            <w:t xml:space="preserve"> </w:t>
                          </w:r>
                        </w:p>
                      </w:txbxContent>
                    </wps:txbx>
                    <wps:bodyPr lIns="0" tIns="0" rIns="0" bIns="0" upright="true"/>
                  </wps:wsp>
                </a:graphicData>
              </a:graphic>
            </wp:anchor>
          </w:drawing>
        </mc:Choice>
        <mc:Fallback>
          <w:pict>
            <v:rect id="文本框 10" o:spid="_x0000_s1026" o:spt="1" style="position:absolute;left:0pt;margin-left:55.65pt;margin-top:536.05pt;height:12.1pt;width:7.05pt;mso-position-horizontal-relative:page;mso-position-vertical-relative:page;z-index:-251657216;mso-width-relative:page;mso-height-relative:page;" filled="f" stroked="f" coordsize="21600,21600" o:gfxdata="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BHLHNU3AAAAA0BAAAPAAAAAAAAAAEAIAAAADgAAABkcnMvZG93bnJldi54bWxQSwECFAAUAAAA&#10;CACHTuJAlAxzW5sBAAAdAwAADgAAAAAAAAABACAAAABBAQAAZHJzL2Uyb0RvYy54bWxQSwUGAAAA&#10;AAYABgBZAQAATgUAAAAA&#10;">
              <v:fill on="f" focussize="0,0"/>
              <v:stroke on="f"/>
              <v:imagedata o:title=""/>
              <o:lock v:ext="edit" aspectratio="f"/>
              <v:textbox inset="0mm,0mm,0mm,0mm">
                <w:txbxContent>
                  <w:p>
                    <w:pPr>
                      <w:spacing w:line="242" w:lineRule="exact"/>
                      <w:ind w:left="20"/>
                      <w:rPr>
                        <w:rFonts w:ascii="等线" w:hAnsi="等线" w:eastAsia="等线"/>
                        <w:spacing w:val="0"/>
                        <w:sz w:val="20"/>
                        <w:szCs w:val="22"/>
                      </w:rPr>
                    </w:pPr>
                    <w:r>
                      <w:rPr>
                        <w:rFonts w:ascii="等线" w:hAnsi="等线" w:eastAsia="等线"/>
                        <w:spacing w:val="0"/>
                        <w:sz w:val="20"/>
                        <w:szCs w:val="22"/>
                      </w:rPr>
                      <w:t xml:space="preserve"> </w:t>
                    </w:r>
                  </w:p>
                </w:txbxContent>
              </v:textbox>
            </v:rect>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64</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11</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12</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eastAsia="宋体"/>
        <w:sz w:val="18"/>
        <w:szCs w:val="18"/>
      </w:rPr>
    </w:pPr>
    <w:r>
      <w:rPr>
        <w:rFonts w:eastAsia="宋体"/>
        <w:sz w:val="18"/>
        <w:szCs w:val="18"/>
      </w:rPr>
      <mc:AlternateContent>
        <mc:Choice Requires="wps">
          <w:drawing>
            <wp:anchor distT="0" distB="0" distL="114300" distR="114300" simplePos="0" relativeHeight="251659264" behindDoc="1" locked="0" layoutInCell="1" allowOverlap="1">
              <wp:simplePos x="0" y="0"/>
              <wp:positionH relativeFrom="column">
                <wp:posOffset>-498475</wp:posOffset>
              </wp:positionH>
              <wp:positionV relativeFrom="paragraph">
                <wp:posOffset>-1428750</wp:posOffset>
              </wp:positionV>
              <wp:extent cx="670560" cy="1399540"/>
              <wp:effectExtent l="4445" t="4445" r="10795" b="5715"/>
              <wp:wrapNone/>
              <wp:docPr id="9" name="文本框 24"/>
              <wp:cNvGraphicFramePr/>
              <a:graphic xmlns:a="http://schemas.openxmlformats.org/drawingml/2006/main">
                <a:graphicData uri="http://schemas.microsoft.com/office/word/2010/wordprocessingShape">
                  <wps:wsp>
                    <wps:cNvSpPr/>
                    <wps:spPr>
                      <a:xfrm>
                        <a:off x="0" y="0"/>
                        <a:ext cx="670560" cy="13995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15</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24" o:spid="_x0000_s1026" o:spt="1" style="position:absolute;left:0pt;margin-left:-39.25pt;margin-top:-112.5pt;height:110.2pt;width:52.8pt;z-index:-251657216;mso-width-relative:margin;mso-height-relative:page;mso-width-percent:400;" fillcolor="#FFFFFF" filled="t" stroked="t" coordsize="21600,21600" o:gfxdata="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Q15jn2AAAAAoBAAAPAAAAAAAA&#10;AAEAIAAAADgAAABkcnMvZG93bnJldi54bWxQSwECFAAUAAAACACHTuJAhpFH+PwBAAAIBAAADgAA&#10;AAAAAAABACAAAAA9AQAAZHJzL2Uyb0RvYy54bWxQSwUGAAAAAAYABgBZAQAAqwU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15</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eastAsia="宋体"/>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08" w:leftChars="100" w:right="308"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21</w:t>
    </w:r>
    <w:r>
      <w:rPr>
        <w:rFonts w:ascii="宋体" w:hAnsi="宋体" w:eastAsia="宋体"/>
        <w:sz w:val="28"/>
        <w:szCs w:val="28"/>
      </w:rPr>
      <w:fldChar w:fldCharType="end"/>
    </w:r>
    <w:r>
      <w:rPr>
        <w:rFonts w:hint="eastAsia" w:ascii="宋体" w:hAnsi="宋体" w:eastAsia="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r>
      <w:rPr>
        <w:rFonts w:eastAsia="宋体"/>
        <w:spacing w:val="0"/>
        <w:sz w:val="21"/>
        <w:szCs w:val="22"/>
      </w:rPr>
      <mc:AlternateContent>
        <mc:Choice Requires="wps">
          <w:drawing>
            <wp:anchor distT="0" distB="0" distL="114300" distR="114300" simplePos="0" relativeHeight="251659264" behindDoc="1" locked="0" layoutInCell="1" allowOverlap="1">
              <wp:simplePos x="0" y="0"/>
              <wp:positionH relativeFrom="column">
                <wp:posOffset>-498475</wp:posOffset>
              </wp:positionH>
              <wp:positionV relativeFrom="paragraph">
                <wp:posOffset>469265</wp:posOffset>
              </wp:positionV>
              <wp:extent cx="670560" cy="1456055"/>
              <wp:effectExtent l="5080" t="4445" r="10160" b="12700"/>
              <wp:wrapNone/>
              <wp:docPr id="12" name="文本框 35"/>
              <wp:cNvGraphicFramePr/>
              <a:graphic xmlns:a="http://schemas.openxmlformats.org/drawingml/2006/main">
                <a:graphicData uri="http://schemas.microsoft.com/office/word/2010/wordprocessingShape">
                  <wps:wsp>
                    <wps:cNvSpPr/>
                    <wps:spPr>
                      <a:xfrm>
                        <a:off x="0" y="0"/>
                        <a:ext cx="670560" cy="145605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22</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35" o:spid="_x0000_s1026" o:spt="1" style="position:absolute;left:0pt;margin-left:-39.25pt;margin-top:36.95pt;height:114.65pt;width:52.8pt;z-index:-251657216;mso-width-relative:margin;mso-height-relative:page;mso-width-percent:400;" fillcolor="#FFFFFF" filled="t" stroked="t" coordsize="21600,21600" o:gfxdata="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IsoRLTYAAAACQEAAA8AAAAAAAAA&#10;AQAgAAAAOAAAAGRycy9kb3ducmV2LnhtbFBLAQIUABQAAAAIAIdO4kAYGopZ+wEAAAkEAAAOAAAA&#10;AAAAAAEAIAAAAD0BAABkcnMvZTJvRG9jLnhtbFBLBQYAAAAABgAGAFkBAACqBQ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22</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r>
      <w:rPr>
        <w:rFonts w:eastAsia="宋体"/>
        <w:spacing w:val="0"/>
        <w:sz w:val="21"/>
        <w:szCs w:val="22"/>
      </w:rPr>
      <mc:AlternateContent>
        <mc:Choice Requires="wps">
          <w:drawing>
            <wp:anchor distT="0" distB="0" distL="114300" distR="114300" simplePos="0" relativeHeight="251659264" behindDoc="1" locked="0" layoutInCell="1" allowOverlap="1">
              <wp:simplePos x="0" y="0"/>
              <wp:positionH relativeFrom="column">
                <wp:posOffset>-508000</wp:posOffset>
              </wp:positionH>
              <wp:positionV relativeFrom="paragraph">
                <wp:posOffset>469265</wp:posOffset>
              </wp:positionV>
              <wp:extent cx="670560" cy="1399540"/>
              <wp:effectExtent l="4445" t="4445" r="10795" b="5715"/>
              <wp:wrapNone/>
              <wp:docPr id="14" name="文本框 36"/>
              <wp:cNvGraphicFramePr/>
              <a:graphic xmlns:a="http://schemas.openxmlformats.org/drawingml/2006/main">
                <a:graphicData uri="http://schemas.microsoft.com/office/word/2010/wordprocessingShape">
                  <wps:wsp>
                    <wps:cNvSpPr/>
                    <wps:spPr>
                      <a:xfrm>
                        <a:off x="0" y="0"/>
                        <a:ext cx="670560" cy="13995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28</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36" o:spid="_x0000_s1026" o:spt="1" style="position:absolute;left:0pt;margin-left:-40pt;margin-top:36.95pt;height:110.2pt;width:52.8pt;z-index:-251657216;mso-width-relative:margin;mso-height-relative:page;mso-width-percent:400;" fillcolor="#FFFFFF" filled="t" stroked="t" coordsize="21600,21600" o:gfxdata="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CcPSmf2QAAAAkBAAAPAAAA&#10;AAAAAAEAIAAAADgAAABkcnMvZG93bnJldi54bWxQSwECFAAUAAAACACHTuJA36Z0H/4BAAAJBAAA&#10;DgAAAAAAAAABACAAAAA+AQAAZHJzL2Uyb0RvYy54bWxQSwUGAAAAAAYABgBZAQAArgU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28</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r>
      <w:rPr>
        <w:rFonts w:eastAsia="宋体"/>
        <w:spacing w:val="0"/>
        <w:sz w:val="21"/>
        <w:szCs w:val="22"/>
      </w:rPr>
      <mc:AlternateContent>
        <mc:Choice Requires="wps">
          <w:drawing>
            <wp:anchor distT="0" distB="0" distL="114300" distR="114300" simplePos="0" relativeHeight="251659264" behindDoc="1" locked="0" layoutInCell="1" allowOverlap="1">
              <wp:simplePos x="0" y="0"/>
              <wp:positionH relativeFrom="column">
                <wp:posOffset>-460375</wp:posOffset>
              </wp:positionH>
              <wp:positionV relativeFrom="paragraph">
                <wp:posOffset>469265</wp:posOffset>
              </wp:positionV>
              <wp:extent cx="670560" cy="1572260"/>
              <wp:effectExtent l="4445" t="4445" r="10795" b="10795"/>
              <wp:wrapNone/>
              <wp:docPr id="16" name="文本框 25"/>
              <wp:cNvGraphicFramePr/>
              <a:graphic xmlns:a="http://schemas.openxmlformats.org/drawingml/2006/main">
                <a:graphicData uri="http://schemas.microsoft.com/office/word/2010/wordprocessingShape">
                  <wps:wsp>
                    <wps:cNvSpPr/>
                    <wps:spPr>
                      <a:xfrm>
                        <a:off x="0" y="0"/>
                        <a:ext cx="670560" cy="15722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34</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25" o:spid="_x0000_s1026" o:spt="1" style="position:absolute;left:0pt;margin-left:-36.25pt;margin-top:36.95pt;height:123.8pt;width:52.8pt;z-index:-251657216;mso-width-relative:margin;mso-height-relative:page;mso-width-percent:400;" fillcolor="#FFFFFF" filled="t" stroked="t" coordsize="21600,21600" o:gfxdata="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llLFO9gAAAAJAQAADwAAAAAAAAAB&#10;ACAAAAA4AAAAZHJzL2Rvd25yZXYueG1sUEsBAhQAFAAAAAgAh07iQGwdaeX6AQAACQQAAA4AAAAA&#10;AAAAAQAgAAAAPQEAAGRycy9lMm9Eb2MueG1sUEsFBgAAAAAGAAYAWQEAAKkFA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34</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r>
      <w:rPr>
        <w:rFonts w:eastAsia="宋体"/>
        <w:spacing w:val="0"/>
        <w:sz w:val="21"/>
        <w:szCs w:val="22"/>
      </w:rPr>
      <mc:AlternateContent>
        <mc:Choice Requires="wps">
          <w:drawing>
            <wp:anchor distT="0" distB="0" distL="114300" distR="114300" simplePos="0" relativeHeight="251659264" behindDoc="1" locked="0" layoutInCell="1" allowOverlap="1">
              <wp:simplePos x="0" y="0"/>
              <wp:positionH relativeFrom="column">
                <wp:posOffset>-508000</wp:posOffset>
              </wp:positionH>
              <wp:positionV relativeFrom="paragraph">
                <wp:posOffset>478790</wp:posOffset>
              </wp:positionV>
              <wp:extent cx="431165" cy="1450975"/>
              <wp:effectExtent l="4445" t="5080" r="8890" b="4445"/>
              <wp:wrapNone/>
              <wp:docPr id="8" name="文本框 30"/>
              <wp:cNvGraphicFramePr/>
              <a:graphic xmlns:a="http://schemas.openxmlformats.org/drawingml/2006/main">
                <a:graphicData uri="http://schemas.microsoft.com/office/word/2010/wordprocessingShape">
                  <wps:wsp>
                    <wps:cNvSpPr/>
                    <wps:spPr>
                      <a:xfrm>
                        <a:off x="0" y="0"/>
                        <a:ext cx="431165" cy="14509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10</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30" o:spid="_x0000_s1026" o:spt="1" style="position:absolute;left:0pt;margin-left:-40pt;margin-top:37.7pt;height:114.25pt;width:33.95pt;z-index:-251657216;mso-width-relative:margin;mso-height-relative:page;mso-width-percent:400;" fillcolor="#FFFFFF" filled="t" stroked="t" coordsize="21600,21600" o:gfxdata="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HHMeo3ZAAAACgEAAA8AAAAAAAAA&#10;AQAgAAAAOAAAAGRycy9kb3ducmV2LnhtbFBLAQIUABQAAAAIAIdO4kDRHp9M+gEAAAgEAAAOAAAA&#10;AAAAAAEAIAAAAD4BAABkcnMvZTJvRG9jLnhtbFBLBQYAAAAABgAGAFkBAACqBQ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10</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r>
      <w:rPr>
        <w:rFonts w:eastAsia="宋体"/>
        <w:spacing w:val="0"/>
        <w:sz w:val="21"/>
        <w:szCs w:val="22"/>
      </w:rPr>
      <mc:AlternateContent>
        <mc:Choice Requires="wps">
          <w:drawing>
            <wp:anchor distT="0" distB="0" distL="114300" distR="114300" simplePos="0" relativeHeight="251659264" behindDoc="1" locked="0" layoutInCell="1" allowOverlap="1">
              <wp:simplePos x="0" y="0"/>
              <wp:positionH relativeFrom="column">
                <wp:posOffset>-469900</wp:posOffset>
              </wp:positionH>
              <wp:positionV relativeFrom="paragraph">
                <wp:posOffset>478790</wp:posOffset>
              </wp:positionV>
              <wp:extent cx="670560" cy="1506855"/>
              <wp:effectExtent l="4445" t="4445" r="10795" b="12700"/>
              <wp:wrapNone/>
              <wp:docPr id="18" name="文本框 15"/>
              <wp:cNvGraphicFramePr/>
              <a:graphic xmlns:a="http://schemas.openxmlformats.org/drawingml/2006/main">
                <a:graphicData uri="http://schemas.microsoft.com/office/word/2010/wordprocessingShape">
                  <wps:wsp>
                    <wps:cNvSpPr/>
                    <wps:spPr>
                      <a:xfrm>
                        <a:off x="0" y="0"/>
                        <a:ext cx="670560" cy="150685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40</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15" o:spid="_x0000_s1026" o:spt="1" style="position:absolute;left:0pt;margin-left:-37pt;margin-top:37.7pt;height:118.65pt;width:52.8pt;z-index:-251657216;mso-width-relative:margin;mso-height-relative:page;mso-width-percent:400;" fillcolor="#FFFFFF" filled="t" stroked="t" coordsize="21600,21600" o:gfxdata="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eb2czdgAAAAJAQAADwAAAAAA&#10;AAABACAAAAA4AAAAZHJzL2Rvd25yZXYueG1sUEsBAhQAFAAAAAgAh07iQM2Dvpf9AQAACQQAAA4A&#10;AAAAAAAAAQAgAAAAPQEAAGRycy9lMm9Eb2MueG1sUEsFBgAAAAAGAAYAWQEAAKwFA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40</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r>
      <w:rPr>
        <w:rFonts w:eastAsia="宋体"/>
        <w:spacing w:val="0"/>
        <w:sz w:val="21"/>
        <w:szCs w:val="22"/>
      </w:rPr>
      <mc:AlternateContent>
        <mc:Choice Requires="wps">
          <w:drawing>
            <wp:anchor distT="0" distB="0" distL="114300" distR="114300" simplePos="0" relativeHeight="251659264" behindDoc="1" locked="0" layoutInCell="1" allowOverlap="1">
              <wp:simplePos x="0" y="0"/>
              <wp:positionH relativeFrom="column">
                <wp:posOffset>-431800</wp:posOffset>
              </wp:positionH>
              <wp:positionV relativeFrom="paragraph">
                <wp:posOffset>469265</wp:posOffset>
              </wp:positionV>
              <wp:extent cx="670560" cy="1492885"/>
              <wp:effectExtent l="4445" t="4445" r="10795" b="13970"/>
              <wp:wrapNone/>
              <wp:docPr id="20" name="文本框 16"/>
              <wp:cNvGraphicFramePr/>
              <a:graphic xmlns:a="http://schemas.openxmlformats.org/drawingml/2006/main">
                <a:graphicData uri="http://schemas.microsoft.com/office/word/2010/wordprocessingShape">
                  <wps:wsp>
                    <wps:cNvSpPr/>
                    <wps:spPr>
                      <a:xfrm>
                        <a:off x="0" y="0"/>
                        <a:ext cx="670560" cy="14928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46</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16" o:spid="_x0000_s1026" o:spt="1" style="position:absolute;left:0pt;margin-left:-34pt;margin-top:36.95pt;height:117.55pt;width:52.8pt;z-index:-251657216;mso-width-relative:margin;mso-height-relative:page;mso-width-percent:400;" fillcolor="#FFFFFF" filled="t" stroked="t" coordsize="21600,21600" o:gfxdata="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m3M1S2AAAAAkBAAAPAAAAAAAA&#10;AAEAIAAAADgAAABkcnMvZG93bnJldi54bWxQSwECFAAUAAAACACHTuJApLNs+fwBAAAJBAAADgAA&#10;AAAAAAABACAAAAA9AQAAZHJzL2Uyb0RvYy54bWxQSwUGAAAAAAYABgBZAQAAqwU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46</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r>
      <w:rPr>
        <w:rFonts w:eastAsia="宋体"/>
        <w:spacing w:val="0"/>
        <w:sz w:val="21"/>
        <w:szCs w:val="22"/>
      </w:rPr>
      <mc:AlternateContent>
        <mc:Choice Requires="wps">
          <w:drawing>
            <wp:anchor distT="0" distB="0" distL="114300" distR="114300" simplePos="0" relativeHeight="251659264" behindDoc="1" locked="0" layoutInCell="1" allowOverlap="1">
              <wp:simplePos x="0" y="0"/>
              <wp:positionH relativeFrom="column">
                <wp:posOffset>-450850</wp:posOffset>
              </wp:positionH>
              <wp:positionV relativeFrom="paragraph">
                <wp:posOffset>469900</wp:posOffset>
              </wp:positionV>
              <wp:extent cx="670560" cy="1415415"/>
              <wp:effectExtent l="4445" t="4445" r="10795" b="15240"/>
              <wp:wrapNone/>
              <wp:docPr id="22" name="文本框 13"/>
              <wp:cNvGraphicFramePr/>
              <a:graphic xmlns:a="http://schemas.openxmlformats.org/drawingml/2006/main">
                <a:graphicData uri="http://schemas.microsoft.com/office/word/2010/wordprocessingShape">
                  <wps:wsp>
                    <wps:cNvSpPr/>
                    <wps:spPr>
                      <a:xfrm>
                        <a:off x="0" y="0"/>
                        <a:ext cx="670560" cy="14154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52</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13" o:spid="_x0000_s1026" o:spt="1" style="position:absolute;left:0pt;margin-left:-35.5pt;margin-top:37pt;height:111.45pt;width:52.8pt;z-index:-251657216;mso-width-relative:margin;mso-height-relative:page;mso-width-percent:400;" fillcolor="#FFFFFF" filled="t" stroked="t" coordsize="21600,21600" o:gfxdata="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wlpC6dgAAAAJAQAADwAAAAAAAAAB&#10;ACAAAAA4AAAAZHJzL2Rvd25yZXYueG1sUEsBAhQAFAAAAAgAh07iQG/uDSn6AQAACQQAAA4AAAAA&#10;AAAAAQAgAAAAPQEAAGRycy9lMm9Eb2MueG1sUEsFBgAAAAAGAAYAWQEAAKkFA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52</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r>
      <w:rPr>
        <w:rFonts w:eastAsia="宋体"/>
        <w:spacing w:val="0"/>
        <w:sz w:val="21"/>
        <w:szCs w:val="22"/>
      </w:rPr>
      <mc:AlternateContent>
        <mc:Choice Requires="wps">
          <w:drawing>
            <wp:anchor distT="0" distB="0" distL="114300" distR="114300" simplePos="0" relativeHeight="251659264" behindDoc="1" locked="0" layoutInCell="1" allowOverlap="1">
              <wp:simplePos x="0" y="0"/>
              <wp:positionH relativeFrom="column">
                <wp:posOffset>-450850</wp:posOffset>
              </wp:positionH>
              <wp:positionV relativeFrom="paragraph">
                <wp:posOffset>469265</wp:posOffset>
              </wp:positionV>
              <wp:extent cx="670560" cy="1590675"/>
              <wp:effectExtent l="5080" t="4445" r="10160" b="5080"/>
              <wp:wrapNone/>
              <wp:docPr id="24" name="文本框 18"/>
              <wp:cNvGraphicFramePr/>
              <a:graphic xmlns:a="http://schemas.openxmlformats.org/drawingml/2006/main">
                <a:graphicData uri="http://schemas.microsoft.com/office/word/2010/wordprocessingShape">
                  <wps:wsp>
                    <wps:cNvSpPr/>
                    <wps:spPr>
                      <a:xfrm>
                        <a:off x="0" y="0"/>
                        <a:ext cx="670560" cy="15906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58</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18" o:spid="_x0000_s1026" o:spt="1" style="position:absolute;left:0pt;margin-left:-35.5pt;margin-top:36.95pt;height:125.25pt;width:52.8pt;z-index:-251657216;mso-width-relative:margin;mso-height-relative:page;mso-width-percent:400;" fillcolor="#FFFFFF" filled="t" stroked="t" coordsize="21600,21600" o:gfxdata="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QF+BjNgAAAAJAQAADwAAAAAA&#10;AAABACAAAAA4AAAAZHJzL2Rvd25yZXYueG1sUEsBAhQAFAAAAAgAh07iQL+tsQn9AQAACQQAAA4A&#10;AAAAAAAAAQAgAAAAPQEAAGRycy9lMm9Eb2MueG1sUEsFBgAAAAAGAAYAWQEAAKwFA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58</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line="14" w:lineRule="auto"/>
      <w:rPr>
        <w:rFonts w:eastAsia="宋体"/>
        <w:sz w:val="20"/>
        <w:szCs w:val="2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line="14" w:lineRule="auto"/>
      <w:rPr>
        <w:rFonts w:eastAsia="宋体"/>
        <w:sz w:val="20"/>
        <w:szCs w:val="2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r>
      <w:rPr>
        <w:rFonts w:eastAsia="宋体"/>
        <w:spacing w:val="0"/>
        <w:sz w:val="21"/>
        <w:szCs w:val="22"/>
      </w:rPr>
      <mc:AlternateContent>
        <mc:Choice Requires="wps">
          <w:drawing>
            <wp:anchor distT="0" distB="0" distL="114300" distR="114300" simplePos="0" relativeHeight="251659264" behindDoc="1" locked="0" layoutInCell="1" allowOverlap="1">
              <wp:simplePos x="0" y="0"/>
              <wp:positionH relativeFrom="column">
                <wp:posOffset>-469900</wp:posOffset>
              </wp:positionH>
              <wp:positionV relativeFrom="paragraph">
                <wp:posOffset>478790</wp:posOffset>
              </wp:positionV>
              <wp:extent cx="670560" cy="1581150"/>
              <wp:effectExtent l="4445" t="4445" r="10795" b="14605"/>
              <wp:wrapNone/>
              <wp:docPr id="28" name="文本框 17"/>
              <wp:cNvGraphicFramePr/>
              <a:graphic xmlns:a="http://schemas.openxmlformats.org/drawingml/2006/main">
                <a:graphicData uri="http://schemas.microsoft.com/office/word/2010/wordprocessingShape">
                  <wps:wsp>
                    <wps:cNvSpPr/>
                    <wps:spPr>
                      <a:xfrm>
                        <a:off x="0" y="0"/>
                        <a:ext cx="670560" cy="15811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62</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17" o:spid="_x0000_s1026" o:spt="1" style="position:absolute;left:0pt;margin-left:-37pt;margin-top:37.7pt;height:124.5pt;width:52.8pt;z-index:-251657216;mso-width-relative:margin;mso-height-relative:page;mso-width-percent:400;" fillcolor="#FFFFFF" filled="t" stroked="t" coordsize="21600,21600" o:gfxdata="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5iT3kdgAAAAJAQAADwAAAAAA&#10;AAABACAAAAA4AAAAZHJzL2Rvd25yZXYueG1sUEsBAhQAFAAAAAgAh07iQAtZyhT9AQAACQQAAA4A&#10;AAAAAAAAAQAgAAAAPQEAAGRycy9lMm9Eb2MueG1sUEsFBgAAAAAGAAYAWQEAAKwFA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62</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line="14" w:lineRule="auto"/>
      <w:rPr>
        <w:rFonts w:eastAsia="宋体"/>
        <w:sz w:val="20"/>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r>
      <w:rPr>
        <w:rFonts w:eastAsia="宋体"/>
        <w:spacing w:val="0"/>
        <w:sz w:val="21"/>
        <w:szCs w:val="22"/>
      </w:rPr>
      <mc:AlternateContent>
        <mc:Choice Requires="wps">
          <w:drawing>
            <wp:anchor distT="0" distB="0" distL="114300" distR="114300" simplePos="0" relativeHeight="251659264" behindDoc="1" locked="0" layoutInCell="1" allowOverlap="1">
              <wp:simplePos x="0" y="0"/>
              <wp:positionH relativeFrom="column">
                <wp:posOffset>-517525</wp:posOffset>
              </wp:positionH>
              <wp:positionV relativeFrom="paragraph">
                <wp:posOffset>478790</wp:posOffset>
              </wp:positionV>
              <wp:extent cx="670560" cy="1413510"/>
              <wp:effectExtent l="4445" t="4445" r="10795" b="17145"/>
              <wp:wrapNone/>
              <wp:docPr id="10" name="文本框 26"/>
              <wp:cNvGraphicFramePr/>
              <a:graphic xmlns:a="http://schemas.openxmlformats.org/drawingml/2006/main">
                <a:graphicData uri="http://schemas.microsoft.com/office/word/2010/wordprocessingShape">
                  <wps:wsp>
                    <wps:cNvSpPr/>
                    <wps:spPr>
                      <a:xfrm>
                        <a:off x="0" y="0"/>
                        <a:ext cx="670560" cy="14135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16</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vert="vert" upright="true">
                      <a:spAutoFit/>
                    </wps:bodyPr>
                  </wps:wsp>
                </a:graphicData>
              </a:graphic>
              <wp14:sizeRelH relativeFrom="margin">
                <wp14:pctWidth>40000</wp14:pctWidth>
              </wp14:sizeRelH>
              <wp14:sizeRelV relativeFrom="page">
                <wp14:pctHeight>0</wp14:pctHeight>
              </wp14:sizeRelV>
            </wp:anchor>
          </w:drawing>
        </mc:Choice>
        <mc:Fallback>
          <w:pict>
            <v:rect id="文本框 26" o:spid="_x0000_s1026" o:spt="1" style="position:absolute;left:0pt;margin-left:-40.75pt;margin-top:37.7pt;height:111.3pt;width:52.8pt;z-index:-251657216;mso-width-relative:margin;mso-height-relative:page;mso-width-percent:400;" fillcolor="#FFFFFF" filled="t" stroked="t" coordsize="21600,21600" o:gfxdata="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4x4bwNgAAAAJAQAADwAAAAAAAAAB&#10;ACAAAAA4AAAAZHJzL2Rvd25yZXYueG1sUEsBAhQAFAAAAAgAh07iQNl5YLX6AQAACQQAAA4AAAAA&#10;AAAAAQAgAAAAPQEAAGRycy9lMm9Eb2MueG1sUEsFBgAAAAAGAAYAWQEAAKkFAAAAAA==&#10;">
              <v:fill on="t" focussize="0,0"/>
              <v:stroke color="#FFFFFF" joinstyle="miter"/>
              <v:imagedata o:title=""/>
              <o:lock v:ext="edit" aspectratio="f"/>
              <v:textbox style="layout-flow:vertical;mso-fit-shape-to-text:t;">
                <w:txbxContent>
                  <w:p>
                    <w:pPr>
                      <w:tabs>
                        <w:tab w:val="center" w:pos="4153"/>
                        <w:tab w:val="right" w:pos="8306"/>
                      </w:tabs>
                      <w:snapToGrid w:val="0"/>
                      <w:ind w:left="308" w:leftChars="100" w:right="308" w:rightChars="100"/>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16</w:t>
                    </w:r>
                    <w:r>
                      <w:rPr>
                        <w:rFonts w:ascii="宋体" w:hAnsi="宋体" w:eastAsia="宋体"/>
                        <w:sz w:val="28"/>
                        <w:szCs w:val="28"/>
                      </w:rPr>
                      <w:fldChar w:fldCharType="end"/>
                    </w:r>
                    <w:r>
                      <w:rPr>
                        <w:rFonts w:hint="eastAsia" w:ascii="宋体" w:hAnsi="宋体" w:eastAsia="宋体"/>
                        <w:sz w:val="28"/>
                        <w:szCs w:val="28"/>
                      </w:rPr>
                      <w:t xml:space="preserve"> —</w:t>
                    </w:r>
                  </w:p>
                </w:txbxContent>
              </v:textbox>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宋体"/>
        <w:spacing w:val="0"/>
        <w:sz w:val="21"/>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AECFEB"/>
    <w:multiLevelType w:val="singleLevel"/>
    <w:tmpl w:val="98AECFEB"/>
    <w:lvl w:ilvl="0" w:tentative="0">
      <w:start w:val="1"/>
      <w:numFmt w:val="decimal"/>
      <w:suff w:val="nothing"/>
      <w:lvlText w:val="%1、"/>
      <w:lvlJc w:val="left"/>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singleLevel"/>
    <w:tmpl w:val="00000002"/>
    <w:lvl w:ilvl="0" w:tentative="0">
      <w:start w:val="1"/>
      <w:numFmt w:val="decimal"/>
      <w:suff w:val="nothing"/>
      <w:lvlText w:val="%1、"/>
      <w:lvlJc w:val="left"/>
    </w:lvl>
  </w:abstractNum>
  <w:abstractNum w:abstractNumId="3">
    <w:nsid w:val="0DAFF518"/>
    <w:multiLevelType w:val="singleLevel"/>
    <w:tmpl w:val="0DAFF518"/>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evenAndOddHeaders w:val="true"/>
  <w:drawingGridVerticalSpacing w:val="156"/>
  <w:displayHorizontalDrawingGridEvery w:val="1"/>
  <w:displayVerticalDrawingGridEvery w:val="1"/>
  <w:doNotShadeFormData w:val="true"/>
  <w:noPunctuationKerning w:val="true"/>
  <w:characterSpacingControl w:val="compressPunctuation"/>
  <w:doNotValidateAgainstSchema/>
  <w:doNotDemarcateInvalidXml/>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2ZGVjMjAyMTJiNDBmOGMyMDkwZTk5NmNhYjE0NTYifQ=="/>
  </w:docVars>
  <w:rsids>
    <w:rsidRoot w:val="00172A27"/>
    <w:rsid w:val="000779AD"/>
    <w:rsid w:val="00113A29"/>
    <w:rsid w:val="00172A27"/>
    <w:rsid w:val="00181BF9"/>
    <w:rsid w:val="001E13E7"/>
    <w:rsid w:val="00377BE8"/>
    <w:rsid w:val="00445F3F"/>
    <w:rsid w:val="00541F4C"/>
    <w:rsid w:val="005A1537"/>
    <w:rsid w:val="005A71F8"/>
    <w:rsid w:val="00765447"/>
    <w:rsid w:val="0079346B"/>
    <w:rsid w:val="008B1A24"/>
    <w:rsid w:val="008B6457"/>
    <w:rsid w:val="008D138C"/>
    <w:rsid w:val="009A4F26"/>
    <w:rsid w:val="009E1764"/>
    <w:rsid w:val="00C931CC"/>
    <w:rsid w:val="02B35703"/>
    <w:rsid w:val="02FC6AF6"/>
    <w:rsid w:val="03885E3A"/>
    <w:rsid w:val="040D37F1"/>
    <w:rsid w:val="04E80DDC"/>
    <w:rsid w:val="057B3468"/>
    <w:rsid w:val="05C018BB"/>
    <w:rsid w:val="05DE188C"/>
    <w:rsid w:val="07EAECAC"/>
    <w:rsid w:val="082A74C0"/>
    <w:rsid w:val="08836BD0"/>
    <w:rsid w:val="09C12374"/>
    <w:rsid w:val="0A7315F2"/>
    <w:rsid w:val="0B7B69D2"/>
    <w:rsid w:val="0C013ECD"/>
    <w:rsid w:val="0C39E697"/>
    <w:rsid w:val="10022AD1"/>
    <w:rsid w:val="10CB7366"/>
    <w:rsid w:val="11C646FD"/>
    <w:rsid w:val="146D7BC1"/>
    <w:rsid w:val="149FBAED"/>
    <w:rsid w:val="151632A6"/>
    <w:rsid w:val="15C42D02"/>
    <w:rsid w:val="19481E9C"/>
    <w:rsid w:val="19EF2318"/>
    <w:rsid w:val="1EA71413"/>
    <w:rsid w:val="1EA90000"/>
    <w:rsid w:val="20AF45AF"/>
    <w:rsid w:val="219E6AFD"/>
    <w:rsid w:val="234E6301"/>
    <w:rsid w:val="25515C2B"/>
    <w:rsid w:val="25914616"/>
    <w:rsid w:val="25D36F91"/>
    <w:rsid w:val="26651DC4"/>
    <w:rsid w:val="286E5AE0"/>
    <w:rsid w:val="2A921465"/>
    <w:rsid w:val="2B0F2118"/>
    <w:rsid w:val="2B134C12"/>
    <w:rsid w:val="2B3B53BD"/>
    <w:rsid w:val="2B924469"/>
    <w:rsid w:val="2C354AE4"/>
    <w:rsid w:val="2D20023B"/>
    <w:rsid w:val="2D365C3A"/>
    <w:rsid w:val="30786BD1"/>
    <w:rsid w:val="30A03A90"/>
    <w:rsid w:val="30C83FF4"/>
    <w:rsid w:val="30D8135D"/>
    <w:rsid w:val="313D7B13"/>
    <w:rsid w:val="31DC0F7C"/>
    <w:rsid w:val="34FF745B"/>
    <w:rsid w:val="37C30C14"/>
    <w:rsid w:val="39E135D3"/>
    <w:rsid w:val="3AD35AB8"/>
    <w:rsid w:val="3B44206B"/>
    <w:rsid w:val="3C090BBF"/>
    <w:rsid w:val="3CFEC844"/>
    <w:rsid w:val="3E287A22"/>
    <w:rsid w:val="3F3C54C9"/>
    <w:rsid w:val="3FA7D43A"/>
    <w:rsid w:val="3FCC262F"/>
    <w:rsid w:val="3FE07E89"/>
    <w:rsid w:val="40914DB7"/>
    <w:rsid w:val="45120AE5"/>
    <w:rsid w:val="45602EE4"/>
    <w:rsid w:val="4616725F"/>
    <w:rsid w:val="46BD0F24"/>
    <w:rsid w:val="4823125B"/>
    <w:rsid w:val="485B7C6A"/>
    <w:rsid w:val="49492A28"/>
    <w:rsid w:val="49B86700"/>
    <w:rsid w:val="49C99267"/>
    <w:rsid w:val="4AC92866"/>
    <w:rsid w:val="4BD6DC5D"/>
    <w:rsid w:val="4C4F261E"/>
    <w:rsid w:val="4C7622A1"/>
    <w:rsid w:val="4D4E7696"/>
    <w:rsid w:val="4FA8BFF1"/>
    <w:rsid w:val="4FC74BC1"/>
    <w:rsid w:val="50306C0B"/>
    <w:rsid w:val="518D2A9F"/>
    <w:rsid w:val="52630BD1"/>
    <w:rsid w:val="534C6BF9"/>
    <w:rsid w:val="53E67D0C"/>
    <w:rsid w:val="542C6B71"/>
    <w:rsid w:val="54D04518"/>
    <w:rsid w:val="5640122A"/>
    <w:rsid w:val="56C36423"/>
    <w:rsid w:val="57DA17FC"/>
    <w:rsid w:val="58800914"/>
    <w:rsid w:val="594B0D5D"/>
    <w:rsid w:val="59B3098D"/>
    <w:rsid w:val="5BAF5E1A"/>
    <w:rsid w:val="5C5E0343"/>
    <w:rsid w:val="5CAD0381"/>
    <w:rsid w:val="5CB0535B"/>
    <w:rsid w:val="5DC82230"/>
    <w:rsid w:val="603B13E0"/>
    <w:rsid w:val="61EF024D"/>
    <w:rsid w:val="62312A9A"/>
    <w:rsid w:val="62995380"/>
    <w:rsid w:val="641C436F"/>
    <w:rsid w:val="652763E9"/>
    <w:rsid w:val="66083B12"/>
    <w:rsid w:val="66D93412"/>
    <w:rsid w:val="670F4410"/>
    <w:rsid w:val="67566AFF"/>
    <w:rsid w:val="6A4A230E"/>
    <w:rsid w:val="6BC5A325"/>
    <w:rsid w:val="6DFB257F"/>
    <w:rsid w:val="6E4A2D1F"/>
    <w:rsid w:val="6E8B1784"/>
    <w:rsid w:val="6F1D32F1"/>
    <w:rsid w:val="711A6D17"/>
    <w:rsid w:val="71B67FA7"/>
    <w:rsid w:val="71BBAF25"/>
    <w:rsid w:val="72624320"/>
    <w:rsid w:val="73532145"/>
    <w:rsid w:val="743A726D"/>
    <w:rsid w:val="748E78D8"/>
    <w:rsid w:val="7499627D"/>
    <w:rsid w:val="74F811F5"/>
    <w:rsid w:val="786F74C4"/>
    <w:rsid w:val="78EF290F"/>
    <w:rsid w:val="79DD0304"/>
    <w:rsid w:val="7BC77B74"/>
    <w:rsid w:val="7D172435"/>
    <w:rsid w:val="7D943A85"/>
    <w:rsid w:val="7DFC4A3D"/>
    <w:rsid w:val="7E123328"/>
    <w:rsid w:val="7F052E8D"/>
    <w:rsid w:val="839EBBB3"/>
    <w:rsid w:val="84347BCE"/>
    <w:rsid w:val="87AB1E77"/>
    <w:rsid w:val="923897C6"/>
    <w:rsid w:val="9A321A41"/>
    <w:rsid w:val="A1FB78C8"/>
    <w:rsid w:val="A5D77DB7"/>
    <w:rsid w:val="AA9E4F44"/>
    <w:rsid w:val="B31D3DE6"/>
    <w:rsid w:val="B4BCDAC6"/>
    <w:rsid w:val="B895781E"/>
    <w:rsid w:val="B8A4D5B6"/>
    <w:rsid w:val="C0AADD66"/>
    <w:rsid w:val="C39A8471"/>
    <w:rsid w:val="C61445FB"/>
    <w:rsid w:val="C6B24032"/>
    <w:rsid w:val="C78FD381"/>
    <w:rsid w:val="C99346AF"/>
    <w:rsid w:val="C9D11114"/>
    <w:rsid w:val="CDBF6B70"/>
    <w:rsid w:val="D1476807"/>
    <w:rsid w:val="D1F99A3B"/>
    <w:rsid w:val="D2E7BFC5"/>
    <w:rsid w:val="E0C9BDFE"/>
    <w:rsid w:val="E6828220"/>
    <w:rsid w:val="EAC9D42F"/>
    <w:rsid w:val="EDC6083D"/>
    <w:rsid w:val="F120A333"/>
    <w:rsid w:val="F146FA53"/>
    <w:rsid w:val="F6F5B095"/>
    <w:rsid w:val="FB3D76BE"/>
    <w:rsid w:val="FBA608B6"/>
    <w:rsid w:val="FDFBCA24"/>
    <w:rsid w:val="FEFFEA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toc 3"/>
    <w:basedOn w:val="1"/>
    <w:next w:val="1"/>
    <w:semiHidden/>
    <w:unhideWhenUsed/>
    <w:qFormat/>
    <w:uiPriority w:val="39"/>
    <w:pPr>
      <w:ind w:left="840" w:leftChars="400"/>
    </w:pPr>
  </w:style>
  <w:style w:type="paragraph" w:styleId="4">
    <w:name w:val="Balloon Text"/>
    <w:basedOn w:val="1"/>
    <w:link w:val="11"/>
    <w:semiHidden/>
    <w:unhideWhenUsed/>
    <w:qFormat/>
    <w:uiPriority w:val="99"/>
    <w:pPr>
      <w:spacing w:line="240" w:lineRule="auto"/>
    </w:pPr>
    <w:rPr>
      <w:sz w:val="18"/>
      <w:szCs w:val="18"/>
    </w:rPr>
  </w:style>
  <w:style w:type="paragraph" w:styleId="5">
    <w:name w:val="footer"/>
    <w:basedOn w:val="1"/>
    <w:qFormat/>
    <w:uiPriority w:val="0"/>
    <w:pPr>
      <w:tabs>
        <w:tab w:val="center" w:pos="4153"/>
        <w:tab w:val="right" w:pos="8306"/>
      </w:tabs>
      <w:overflowPunct w:val="0"/>
      <w:autoSpaceDE w:val="0"/>
      <w:autoSpaceDN w:val="0"/>
      <w:adjustRightInd w:val="0"/>
      <w:textAlignment w:val="baseline"/>
    </w:pPr>
    <w:rPr>
      <w:rFonts w:eastAsia="宋体"/>
      <w:sz w:val="20"/>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2"/>
    <w:basedOn w:val="1"/>
    <w:next w:val="1"/>
    <w:semiHidden/>
    <w:unhideWhenUsed/>
    <w:qFormat/>
    <w:uiPriority w:val="39"/>
    <w:pPr>
      <w:ind w:left="420" w:leftChars="200"/>
    </w:pPr>
  </w:style>
  <w:style w:type="character" w:styleId="10">
    <w:name w:val="page number"/>
    <w:qFormat/>
    <w:uiPriority w:val="0"/>
    <w:rPr>
      <w:rFonts w:ascii="Times New Roman" w:hAnsi="Times New Roman" w:eastAsia="宋体" w:cs="Times New Roman"/>
    </w:rPr>
  </w:style>
  <w:style w:type="character" w:customStyle="1" w:styleId="11">
    <w:name w:val="批注框文本 字符"/>
    <w:link w:val="4"/>
    <w:semiHidden/>
    <w:qFormat/>
    <w:uiPriority w:val="99"/>
    <w:rPr>
      <w:rFonts w:ascii="Times New Roman" w:hAnsi="Times New Roman" w:eastAsia="仿宋_GB2312" w:cs="Times New Roman"/>
      <w:spacing w:val="-6"/>
      <w:kern w:val="2"/>
      <w:sz w:val="18"/>
      <w:szCs w:val="18"/>
    </w:rPr>
  </w:style>
  <w:style w:type="character" w:customStyle="1" w:styleId="12">
    <w:name w:val="页眉 字符"/>
    <w:link w:val="6"/>
    <w:qFormat/>
    <w:uiPriority w:val="99"/>
    <w:rPr>
      <w:rFonts w:eastAsia="仿宋_GB2312"/>
      <w:spacing w:val="-6"/>
      <w:kern w:val="2"/>
      <w:sz w:val="18"/>
      <w:szCs w:val="18"/>
    </w:rPr>
  </w:style>
</w:styles>
</file>

<file path=word/_rels/document.xml.rels><?xml version="1.0" encoding="UTF-8" standalone="yes"?>
<Relationships xmlns="http://schemas.openxmlformats.org/package/2006/relationships"><Relationship Id="rId97" Type="http://schemas.openxmlformats.org/officeDocument/2006/relationships/fontTable" Target="fontTable.xml"/><Relationship Id="rId96" Type="http://schemas.openxmlformats.org/officeDocument/2006/relationships/numbering" Target="numbering.xml"/><Relationship Id="rId95" Type="http://schemas.openxmlformats.org/officeDocument/2006/relationships/customXml" Target="../customXml/item1.xml"/><Relationship Id="rId94" Type="http://schemas.openxmlformats.org/officeDocument/2006/relationships/image" Target="media/image6.png"/><Relationship Id="rId93" Type="http://schemas.openxmlformats.org/officeDocument/2006/relationships/image" Target="media/image5.png"/><Relationship Id="rId92" Type="http://schemas.openxmlformats.org/officeDocument/2006/relationships/image" Target="media/image4.png"/><Relationship Id="rId91" Type="http://schemas.openxmlformats.org/officeDocument/2006/relationships/image" Target="media/image3.png"/><Relationship Id="rId90" Type="http://schemas.openxmlformats.org/officeDocument/2006/relationships/image" Target="media/image2.png"/><Relationship Id="rId9" Type="http://schemas.openxmlformats.org/officeDocument/2006/relationships/footer" Target="footer3.xml"/><Relationship Id="rId89" Type="http://schemas.openxmlformats.org/officeDocument/2006/relationships/image" Target="media/image1.png"/><Relationship Id="rId88" Type="http://schemas.openxmlformats.org/officeDocument/2006/relationships/theme" Target="theme/theme1.xml"/><Relationship Id="rId87" Type="http://schemas.openxmlformats.org/officeDocument/2006/relationships/footer" Target="footer43.xml"/><Relationship Id="rId86" Type="http://schemas.openxmlformats.org/officeDocument/2006/relationships/footer" Target="footer42.xml"/><Relationship Id="rId85" Type="http://schemas.openxmlformats.org/officeDocument/2006/relationships/footer" Target="footer41.xml"/><Relationship Id="rId84" Type="http://schemas.openxmlformats.org/officeDocument/2006/relationships/header" Target="header40.xml"/><Relationship Id="rId83" Type="http://schemas.openxmlformats.org/officeDocument/2006/relationships/header" Target="header39.xml"/><Relationship Id="rId82" Type="http://schemas.openxmlformats.org/officeDocument/2006/relationships/footer" Target="footer40.xml"/><Relationship Id="rId81" Type="http://schemas.openxmlformats.org/officeDocument/2006/relationships/footer" Target="footer39.xml"/><Relationship Id="rId80" Type="http://schemas.openxmlformats.org/officeDocument/2006/relationships/header" Target="header38.xml"/><Relationship Id="rId8" Type="http://schemas.openxmlformats.org/officeDocument/2006/relationships/header" Target="header2.xml"/><Relationship Id="rId79" Type="http://schemas.openxmlformats.org/officeDocument/2006/relationships/header" Target="header37.xml"/><Relationship Id="rId78" Type="http://schemas.openxmlformats.org/officeDocument/2006/relationships/footer" Target="footer38.xml"/><Relationship Id="rId77" Type="http://schemas.openxmlformats.org/officeDocument/2006/relationships/footer" Target="footer37.xml"/><Relationship Id="rId76" Type="http://schemas.openxmlformats.org/officeDocument/2006/relationships/header" Target="header36.xml"/><Relationship Id="rId75" Type="http://schemas.openxmlformats.org/officeDocument/2006/relationships/header" Target="header35.xml"/><Relationship Id="rId74" Type="http://schemas.openxmlformats.org/officeDocument/2006/relationships/footer" Target="footer36.xml"/><Relationship Id="rId73" Type="http://schemas.openxmlformats.org/officeDocument/2006/relationships/footer" Target="footer35.xml"/><Relationship Id="rId72" Type="http://schemas.openxmlformats.org/officeDocument/2006/relationships/header" Target="header34.xml"/><Relationship Id="rId71" Type="http://schemas.openxmlformats.org/officeDocument/2006/relationships/header" Target="header33.xml"/><Relationship Id="rId70" Type="http://schemas.openxmlformats.org/officeDocument/2006/relationships/footer" Target="footer34.xml"/><Relationship Id="rId7" Type="http://schemas.openxmlformats.org/officeDocument/2006/relationships/header" Target="header1.xml"/><Relationship Id="rId69" Type="http://schemas.openxmlformats.org/officeDocument/2006/relationships/footer" Target="footer33.xml"/><Relationship Id="rId68" Type="http://schemas.openxmlformats.org/officeDocument/2006/relationships/header" Target="header32.xml"/><Relationship Id="rId67" Type="http://schemas.openxmlformats.org/officeDocument/2006/relationships/header" Target="header31.xml"/><Relationship Id="rId66" Type="http://schemas.openxmlformats.org/officeDocument/2006/relationships/footer" Target="footer32.xml"/><Relationship Id="rId65" Type="http://schemas.openxmlformats.org/officeDocument/2006/relationships/footer" Target="footer31.xml"/><Relationship Id="rId64" Type="http://schemas.openxmlformats.org/officeDocument/2006/relationships/header" Target="header30.xml"/><Relationship Id="rId63" Type="http://schemas.openxmlformats.org/officeDocument/2006/relationships/header" Target="header29.xml"/><Relationship Id="rId62" Type="http://schemas.openxmlformats.org/officeDocument/2006/relationships/footer" Target="footer30.xml"/><Relationship Id="rId61" Type="http://schemas.openxmlformats.org/officeDocument/2006/relationships/footer" Target="footer29.xml"/><Relationship Id="rId60" Type="http://schemas.openxmlformats.org/officeDocument/2006/relationships/header" Target="header28.xml"/><Relationship Id="rId6" Type="http://schemas.openxmlformats.org/officeDocument/2006/relationships/footer" Target="footer2.xml"/><Relationship Id="rId59" Type="http://schemas.openxmlformats.org/officeDocument/2006/relationships/header" Target="header27.xml"/><Relationship Id="rId58" Type="http://schemas.openxmlformats.org/officeDocument/2006/relationships/footer" Target="footer28.xml"/><Relationship Id="rId57" Type="http://schemas.openxmlformats.org/officeDocument/2006/relationships/footer" Target="footer27.xml"/><Relationship Id="rId56" Type="http://schemas.openxmlformats.org/officeDocument/2006/relationships/header" Target="header26.xml"/><Relationship Id="rId55" Type="http://schemas.openxmlformats.org/officeDocument/2006/relationships/header" Target="header25.xml"/><Relationship Id="rId54" Type="http://schemas.openxmlformats.org/officeDocument/2006/relationships/footer" Target="footer26.xml"/><Relationship Id="rId53" Type="http://schemas.openxmlformats.org/officeDocument/2006/relationships/footer" Target="footer25.xml"/><Relationship Id="rId52" Type="http://schemas.openxmlformats.org/officeDocument/2006/relationships/header" Target="header24.xml"/><Relationship Id="rId51" Type="http://schemas.openxmlformats.org/officeDocument/2006/relationships/header" Target="header23.xml"/><Relationship Id="rId50" Type="http://schemas.openxmlformats.org/officeDocument/2006/relationships/footer" Target="footer24.xml"/><Relationship Id="rId5" Type="http://schemas.openxmlformats.org/officeDocument/2006/relationships/footer" Target="footer1.xml"/><Relationship Id="rId49" Type="http://schemas.openxmlformats.org/officeDocument/2006/relationships/footer" Target="footer23.xml"/><Relationship Id="rId48" Type="http://schemas.openxmlformats.org/officeDocument/2006/relationships/header" Target="header22.xml"/><Relationship Id="rId47" Type="http://schemas.openxmlformats.org/officeDocument/2006/relationships/header" Target="header21.xml"/><Relationship Id="rId46" Type="http://schemas.openxmlformats.org/officeDocument/2006/relationships/footer" Target="footer22.xml"/><Relationship Id="rId45" Type="http://schemas.openxmlformats.org/officeDocument/2006/relationships/footer" Target="footer21.xml"/><Relationship Id="rId44" Type="http://schemas.openxmlformats.org/officeDocument/2006/relationships/header" Target="header20.xml"/><Relationship Id="rId43" Type="http://schemas.openxmlformats.org/officeDocument/2006/relationships/header" Target="header19.xml"/><Relationship Id="rId42" Type="http://schemas.openxmlformats.org/officeDocument/2006/relationships/footer" Target="footer20.xml"/><Relationship Id="rId41" Type="http://schemas.openxmlformats.org/officeDocument/2006/relationships/footer" Target="footer19.xml"/><Relationship Id="rId40" Type="http://schemas.openxmlformats.org/officeDocument/2006/relationships/header" Target="header18.xml"/><Relationship Id="rId4" Type="http://schemas.openxmlformats.org/officeDocument/2006/relationships/endnotes" Target="endnotes.xml"/><Relationship Id="rId39" Type="http://schemas.openxmlformats.org/officeDocument/2006/relationships/header" Target="header17.xml"/><Relationship Id="rId38" Type="http://schemas.openxmlformats.org/officeDocument/2006/relationships/footer" Target="footer18.xml"/><Relationship Id="rId37" Type="http://schemas.openxmlformats.org/officeDocument/2006/relationships/footer" Target="footer17.xml"/><Relationship Id="rId36" Type="http://schemas.openxmlformats.org/officeDocument/2006/relationships/header" Target="header16.xml"/><Relationship Id="rId35" Type="http://schemas.openxmlformats.org/officeDocument/2006/relationships/header" Target="header15.xml"/><Relationship Id="rId34" Type="http://schemas.openxmlformats.org/officeDocument/2006/relationships/footer" Target="footer16.xml"/><Relationship Id="rId33" Type="http://schemas.openxmlformats.org/officeDocument/2006/relationships/footer" Target="footer15.xml"/><Relationship Id="rId32" Type="http://schemas.openxmlformats.org/officeDocument/2006/relationships/header" Target="header14.xml"/><Relationship Id="rId31" Type="http://schemas.openxmlformats.org/officeDocument/2006/relationships/header" Target="header13.xml"/><Relationship Id="rId30" Type="http://schemas.openxmlformats.org/officeDocument/2006/relationships/footer" Target="footer14.xml"/><Relationship Id="rId3" Type="http://schemas.openxmlformats.org/officeDocument/2006/relationships/footnotes" Target="footnotes.xml"/><Relationship Id="rId29" Type="http://schemas.openxmlformats.org/officeDocument/2006/relationships/footer" Target="footer13.xml"/><Relationship Id="rId28" Type="http://schemas.openxmlformats.org/officeDocument/2006/relationships/header" Target="header12.xml"/><Relationship Id="rId27" Type="http://schemas.openxmlformats.org/officeDocument/2006/relationships/header" Target="header11.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header" Target="header10.xml"/><Relationship Id="rId23" Type="http://schemas.openxmlformats.org/officeDocument/2006/relationships/header" Target="header9.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38670</Words>
  <Characters>41525</Characters>
  <Lines>347</Lines>
  <Paragraphs>97</Paragraphs>
  <TotalTime>995</TotalTime>
  <ScaleCrop>false</ScaleCrop>
  <LinksUpToDate>false</LinksUpToDate>
  <CharactersWithSpaces>41718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2023-02-03T01:24:00Z</dcterms:created>
  <dc:creator>Administrator</dc:creator>
  <cp:lastModifiedBy>臭屁的大脸猫</cp:lastModifiedBy>
  <cp:lastPrinted>2024-03-12T13:43:00Z</cp:lastPrinted>
  <dcterms:modified xsi:type="dcterms:W3CDTF">2024-06-20T10:02:03Z</dcterms:modified>
  <dc:title>附件n</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B345B9F0ABE944219E18274D80D8CF8A_13</vt:lpwstr>
  </property>
</Properties>
</file>