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附件2</w:t>
      </w:r>
    </w:p>
    <w:p>
      <w:pPr>
        <w:jc w:val="center"/>
        <w:rPr>
          <w:rFonts w:ascii="方正小标宋简体" w:eastAsia="方正小标宋简体"/>
          <w:sz w:val="30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决定修改的行政规范性文件目录</w:t>
      </w:r>
      <w:r>
        <w:rPr>
          <w:rFonts w:hint="eastAsia" w:ascii="方正小标宋简体" w:eastAsia="方正小标宋简体"/>
          <w:sz w:val="30"/>
          <w:szCs w:val="32"/>
        </w:rPr>
        <w:t xml:space="preserve">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934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2"/>
              </w:rPr>
            </w:pPr>
            <w:r>
              <w:rPr>
                <w:rFonts w:hint="eastAsia" w:ascii="方正小标宋简体" w:eastAsia="方正小标宋简体"/>
                <w:sz w:val="30"/>
                <w:szCs w:val="32"/>
              </w:rPr>
              <w:t>序号</w:t>
            </w:r>
          </w:p>
        </w:tc>
        <w:tc>
          <w:tcPr>
            <w:tcW w:w="9934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2"/>
              </w:rPr>
            </w:pPr>
            <w:r>
              <w:rPr>
                <w:rFonts w:hint="eastAsia" w:ascii="方正小标宋简体" w:eastAsia="方正小标宋简体"/>
                <w:sz w:val="30"/>
                <w:szCs w:val="32"/>
              </w:rPr>
              <w:t>行政规范性文件标题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2"/>
              </w:rPr>
            </w:pPr>
            <w:r>
              <w:rPr>
                <w:rFonts w:hint="eastAsia" w:ascii="方正小标宋简体" w:eastAsia="方正小标宋简体"/>
                <w:sz w:val="30"/>
                <w:szCs w:val="32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9934" w:type="dxa"/>
            <w:shd w:val="clear" w:color="auto" w:fill="auto"/>
            <w:vAlign w:val="center"/>
          </w:tcPr>
          <w:p>
            <w:pPr>
              <w:spacing w:before="240" w:line="400" w:lineRule="exact"/>
              <w:rPr>
                <w:rFonts w:ascii="仿宋_GB2312" w:hAnsi="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32"/>
                <w:szCs w:val="32"/>
              </w:rPr>
              <w:t>《省工商局关于印发</w:t>
            </w:r>
            <w:r>
              <w:rPr>
                <w:rFonts w:hint="default" w:ascii="仿宋_GB2312" w:hAnsi="仿宋" w:eastAsia="仿宋_GB2312" w:cs="宋体"/>
                <w:bCs/>
                <w:kern w:val="0"/>
                <w:sz w:val="32"/>
                <w:szCs w:val="32"/>
                <w:lang w:val="en"/>
              </w:rPr>
              <w:t>&lt;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32"/>
                <w:szCs w:val="32"/>
              </w:rPr>
              <w:t>贵州省广告产业园区发展管理办法（试行）</w:t>
            </w:r>
            <w:r>
              <w:rPr>
                <w:rFonts w:hint="default" w:ascii="仿宋_GB2312" w:hAnsi="仿宋" w:eastAsia="仿宋_GB2312" w:cs="宋体"/>
                <w:bCs/>
                <w:kern w:val="0"/>
                <w:sz w:val="32"/>
                <w:szCs w:val="32"/>
                <w:lang w:val="en"/>
              </w:rPr>
              <w:t>&gt;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32"/>
                <w:szCs w:val="32"/>
              </w:rPr>
              <w:t>的通知》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黔工商广〔2014〕2号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9934" w:type="dxa"/>
            <w:shd w:val="clear" w:color="auto" w:fill="auto"/>
          </w:tcPr>
          <w:p>
            <w:pPr>
              <w:spacing w:before="24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《省市场监督管理局关于印发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&lt;</w:t>
            </w:r>
            <w:r>
              <w:rPr>
                <w:rFonts w:hint="eastAsia" w:ascii="仿宋_GB2312" w:eastAsia="仿宋_GB2312"/>
                <w:sz w:val="32"/>
                <w:szCs w:val="32"/>
              </w:rPr>
              <w:t>贵州省企业名称争议裁决办法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&gt;</w:t>
            </w:r>
            <w:r>
              <w:rPr>
                <w:rFonts w:hint="eastAsia" w:ascii="仿宋_GB2312" w:eastAsia="仿宋_GB2312"/>
                <w:sz w:val="32"/>
                <w:szCs w:val="32"/>
              </w:rPr>
              <w:t>的通知》</w:t>
            </w:r>
          </w:p>
        </w:tc>
        <w:tc>
          <w:tcPr>
            <w:tcW w:w="3576" w:type="dxa"/>
            <w:shd w:val="clear" w:color="auto" w:fill="auto"/>
          </w:tcPr>
          <w:p>
            <w:pPr>
              <w:spacing w:before="240" w:line="40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黔市监注〔2019〕1号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9934" w:type="dxa"/>
            <w:shd w:val="clear" w:color="auto" w:fill="auto"/>
          </w:tcPr>
          <w:p>
            <w:pPr>
              <w:spacing w:before="24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《省市场监管局关于印发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&lt;</w:t>
            </w:r>
            <w:r>
              <w:rPr>
                <w:rFonts w:hint="eastAsia" w:ascii="仿宋_GB2312" w:eastAsia="仿宋_GB2312"/>
                <w:sz w:val="32"/>
                <w:szCs w:val="32"/>
              </w:rPr>
              <w:t>贵州省市场监督管理行政处罚自由裁量权适用规定（试行）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&gt;</w:t>
            </w:r>
            <w:r>
              <w:rPr>
                <w:rFonts w:hint="eastAsia" w:ascii="仿宋_GB2312" w:eastAsia="仿宋_GB2312"/>
                <w:sz w:val="32"/>
                <w:szCs w:val="32"/>
              </w:rPr>
              <w:t>及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&lt;</w:t>
            </w:r>
            <w:r>
              <w:rPr>
                <w:rFonts w:hint="eastAsia" w:ascii="仿宋_GB2312" w:eastAsia="仿宋_GB2312"/>
                <w:sz w:val="32"/>
                <w:szCs w:val="32"/>
              </w:rPr>
              <w:t>贵州省市场监督管理行政处罚裁量基准（试行）</w:t>
            </w: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&gt;</w:t>
            </w:r>
            <w:r>
              <w:rPr>
                <w:rFonts w:hint="eastAsia" w:ascii="仿宋_GB2312" w:eastAsia="仿宋_GB2312"/>
                <w:sz w:val="32"/>
                <w:szCs w:val="32"/>
              </w:rPr>
              <w:t>的通知》</w:t>
            </w:r>
          </w:p>
        </w:tc>
        <w:tc>
          <w:tcPr>
            <w:tcW w:w="3576" w:type="dxa"/>
            <w:shd w:val="clear" w:color="auto" w:fill="auto"/>
          </w:tcPr>
          <w:p>
            <w:pPr>
              <w:spacing w:before="24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黔市监发〔2019〕6号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9934" w:type="dxa"/>
            <w:shd w:val="clear" w:color="auto" w:fill="auto"/>
          </w:tcPr>
          <w:p>
            <w:pPr>
              <w:spacing w:before="240" w:line="4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《省市场监管局关于印发</w:t>
            </w:r>
            <w:r>
              <w:rPr>
                <w:rFonts w:hint="default" w:ascii="仿宋_GB2312" w:hAnsi="仿宋" w:eastAsia="仿宋_GB2312"/>
                <w:sz w:val="32"/>
                <w:szCs w:val="32"/>
                <w:lang w:val="en"/>
              </w:rPr>
              <w:t>&lt;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贵州省市场监管轻微违法行为不予处罚清单</w:t>
            </w:r>
            <w:r>
              <w:rPr>
                <w:rFonts w:hint="default" w:ascii="仿宋_GB2312" w:hAnsi="仿宋" w:eastAsia="仿宋_GB2312"/>
                <w:sz w:val="32"/>
                <w:szCs w:val="32"/>
                <w:lang w:val="en"/>
              </w:rPr>
              <w:t>&gt;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的通知》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spacing w:before="240"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黔市监发〔2022〕1号</w:t>
            </w:r>
            <w:bookmarkStart w:id="0" w:name="_GoBack"/>
            <w:bookmarkEnd w:id="0"/>
          </w:p>
        </w:tc>
      </w:tr>
    </w:tbl>
    <w:p>
      <w:pPr>
        <w:spacing w:before="240" w:line="4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D"/>
    <w:rsid w:val="00422FCD"/>
    <w:rsid w:val="00843A2D"/>
    <w:rsid w:val="00BD07C5"/>
    <w:rsid w:val="00E70264"/>
    <w:rsid w:val="3EED29AA"/>
    <w:rsid w:val="5FD34F25"/>
    <w:rsid w:val="7FFF7BC5"/>
    <w:rsid w:val="FDAFC10B"/>
    <w:rsid w:val="FF7D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贵州省工商行政管理局</Company>
  <Pages>2</Pages>
  <Words>49</Words>
  <Characters>282</Characters>
  <Lines>2</Lines>
  <Paragraphs>1</Paragraphs>
  <TotalTime>5</TotalTime>
  <ScaleCrop>false</ScaleCrop>
  <LinksUpToDate>false</LinksUpToDate>
  <CharactersWithSpaces>330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2021-09-23T10:07:00Z</dcterms:created>
  <dc:creator>刘慧</dc:creator>
  <cp:lastModifiedBy>ysgz</cp:lastModifiedBy>
  <dcterms:modified xsi:type="dcterms:W3CDTF">2023-06-05T11:43:02Z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