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pacing w:before="126" w:line="237" w:lineRule="auto"/>
        <w:ind w:left="157" w:right="341"/>
        <w:outlineLvl w:val="0"/>
      </w:pPr>
      <w:r>
        <w:rPr>
          <w:b/>
          <w:bCs/>
          <w:color w:val="DB404A"/>
          <w:spacing w:val="-45"/>
        </w:rPr>
        <w:t>河</w:t>
      </w:r>
      <w:r>
        <w:rPr>
          <w:color w:val="DB404A"/>
          <w:spacing w:val="220"/>
        </w:rPr>
        <w:t xml:space="preserve"> </w:t>
      </w:r>
      <w:r>
        <w:rPr>
          <w:b/>
          <w:bCs/>
          <w:color w:val="DB404A"/>
          <w:spacing w:val="-45"/>
        </w:rPr>
        <w:t>北</w:t>
      </w:r>
      <w:r>
        <w:rPr>
          <w:color w:val="DB404A"/>
          <w:spacing w:val="-111"/>
        </w:rPr>
        <w:t xml:space="preserve"> </w:t>
      </w:r>
      <w:r>
        <w:rPr>
          <w:b/>
          <w:bCs/>
          <w:color w:val="DB404A"/>
          <w:spacing w:val="-45"/>
        </w:rPr>
        <w:t>省</w:t>
      </w:r>
      <w:r>
        <w:rPr>
          <w:color w:val="DB404A"/>
          <w:spacing w:val="-115"/>
        </w:rPr>
        <w:t xml:space="preserve"> </w:t>
      </w:r>
      <w:r>
        <w:rPr>
          <w:b/>
          <w:bCs/>
          <w:color w:val="DB404A"/>
          <w:spacing w:val="-45"/>
        </w:rPr>
        <w:t>卫</w:t>
      </w:r>
      <w:r>
        <w:rPr>
          <w:color w:val="DB404A"/>
          <w:spacing w:val="-116"/>
        </w:rPr>
        <w:t xml:space="preserve"> </w:t>
      </w:r>
      <w:r>
        <w:rPr>
          <w:b/>
          <w:bCs/>
          <w:color w:val="DB404A"/>
          <w:spacing w:val="-45"/>
        </w:rPr>
        <w:t>生</w:t>
      </w:r>
      <w:r>
        <w:rPr>
          <w:color w:val="DB404A"/>
          <w:spacing w:val="-121"/>
        </w:rPr>
        <w:t xml:space="preserve"> </w:t>
      </w:r>
      <w:r>
        <w:rPr>
          <w:b/>
          <w:bCs/>
          <w:color w:val="DB404A"/>
          <w:spacing w:val="-45"/>
        </w:rPr>
        <w:t>健</w:t>
      </w:r>
      <w:r>
        <w:rPr>
          <w:color w:val="DB404A"/>
          <w:spacing w:val="-123"/>
        </w:rPr>
        <w:t xml:space="preserve"> </w:t>
      </w:r>
      <w:r>
        <w:rPr>
          <w:b/>
          <w:bCs/>
          <w:color w:val="DB404A"/>
          <w:spacing w:val="-45"/>
        </w:rPr>
        <w:t>康</w:t>
      </w:r>
      <w:r>
        <w:rPr>
          <w:color w:val="DB404A"/>
          <w:spacing w:val="-123"/>
        </w:rPr>
        <w:t xml:space="preserve"> </w:t>
      </w:r>
      <w:r>
        <w:rPr>
          <w:b/>
          <w:bCs/>
          <w:color w:val="DB404A"/>
          <w:spacing w:val="-45"/>
        </w:rPr>
        <w:t>委</w:t>
      </w:r>
      <w:r>
        <w:rPr>
          <w:color w:val="DB404A"/>
          <w:spacing w:val="-96"/>
        </w:rPr>
        <w:t xml:space="preserve"> </w:t>
      </w:r>
      <w:r>
        <w:rPr>
          <w:b/>
          <w:bCs/>
          <w:color w:val="DB404A"/>
          <w:spacing w:val="-45"/>
        </w:rPr>
        <w:t>员</w:t>
      </w:r>
      <w:r>
        <w:rPr>
          <w:color w:val="DB404A"/>
          <w:spacing w:val="-123"/>
        </w:rPr>
        <w:t xml:space="preserve"> </w:t>
      </w:r>
      <w:r>
        <w:rPr>
          <w:b/>
          <w:bCs/>
          <w:color w:val="DB404A"/>
          <w:spacing w:val="-45"/>
        </w:rPr>
        <w:t>会</w:t>
      </w:r>
      <w:r>
        <w:rPr>
          <w:color w:val="DB404A"/>
        </w:rPr>
        <w:t xml:space="preserve"> </w:t>
      </w:r>
      <w:r>
        <w:rPr>
          <w:b/>
          <w:bCs/>
          <w:color w:val="DB404A"/>
          <w:spacing w:val="-45"/>
        </w:rPr>
        <w:t>河</w:t>
      </w:r>
      <w:r>
        <w:rPr>
          <w:color w:val="DB404A"/>
          <w:spacing w:val="199"/>
        </w:rPr>
        <w:t xml:space="preserve"> </w:t>
      </w:r>
      <w:r>
        <w:rPr>
          <w:b/>
          <w:bCs/>
          <w:color w:val="DB404A"/>
          <w:spacing w:val="-45"/>
        </w:rPr>
        <w:t>北</w:t>
      </w:r>
      <w:r>
        <w:rPr>
          <w:color w:val="DB404A"/>
          <w:spacing w:val="-109"/>
        </w:rPr>
        <w:t xml:space="preserve"> </w:t>
      </w:r>
      <w:r>
        <w:rPr>
          <w:b/>
          <w:bCs/>
          <w:color w:val="DB404A"/>
          <w:spacing w:val="-45"/>
        </w:rPr>
        <w:t>省</w:t>
      </w:r>
      <w:r>
        <w:rPr>
          <w:color w:val="DB404A"/>
          <w:spacing w:val="-122"/>
        </w:rPr>
        <w:t xml:space="preserve"> </w:t>
      </w:r>
      <w:r>
        <w:rPr>
          <w:b/>
          <w:bCs/>
          <w:color w:val="DB404A"/>
          <w:spacing w:val="-45"/>
        </w:rPr>
        <w:t>疾</w:t>
      </w:r>
      <w:r>
        <w:rPr>
          <w:color w:val="DB404A"/>
          <w:spacing w:val="-122"/>
        </w:rPr>
        <w:t xml:space="preserve"> </w:t>
      </w:r>
      <w:r>
        <w:rPr>
          <w:b/>
          <w:bCs/>
          <w:color w:val="DB404A"/>
          <w:spacing w:val="-45"/>
        </w:rPr>
        <w:t>病</w:t>
      </w:r>
      <w:r>
        <w:rPr>
          <w:color w:val="DB404A"/>
          <w:spacing w:val="-115"/>
        </w:rPr>
        <w:t xml:space="preserve"> </w:t>
      </w:r>
      <w:r>
        <w:rPr>
          <w:b/>
          <w:bCs/>
          <w:color w:val="DB404A"/>
          <w:spacing w:val="-45"/>
        </w:rPr>
        <w:t>预</w:t>
      </w:r>
      <w:r>
        <w:rPr>
          <w:color w:val="DB404A"/>
          <w:spacing w:val="-79"/>
        </w:rPr>
        <w:t xml:space="preserve"> </w:t>
      </w:r>
      <w:r>
        <w:rPr>
          <w:b/>
          <w:bCs/>
          <w:color w:val="DB404A"/>
          <w:spacing w:val="-45"/>
        </w:rPr>
        <w:t>防</w:t>
      </w:r>
      <w:r>
        <w:rPr>
          <w:color w:val="DB404A"/>
          <w:spacing w:val="-122"/>
        </w:rPr>
        <w:t xml:space="preserve"> </w:t>
      </w:r>
      <w:r>
        <w:rPr>
          <w:b/>
          <w:bCs/>
          <w:color w:val="DB404A"/>
          <w:spacing w:val="-45"/>
        </w:rPr>
        <w:t>控</w:t>
      </w:r>
      <w:r>
        <w:rPr>
          <w:color w:val="DB404A"/>
          <w:spacing w:val="-117"/>
        </w:rPr>
        <w:t xml:space="preserve"> </w:t>
      </w:r>
      <w:r>
        <w:rPr>
          <w:b/>
          <w:bCs/>
          <w:color w:val="DB404A"/>
          <w:spacing w:val="-45"/>
        </w:rPr>
        <w:t>制</w:t>
      </w:r>
      <w:r>
        <w:rPr>
          <w:color w:val="DB404A"/>
          <w:spacing w:val="-112"/>
        </w:rPr>
        <w:t xml:space="preserve"> </w:t>
      </w:r>
      <w:r>
        <w:rPr>
          <w:b/>
          <w:bCs/>
          <w:color w:val="DB404A"/>
          <w:spacing w:val="-45"/>
        </w:rPr>
        <w:t>局</w:t>
      </w:r>
    </w:p>
    <w:p>
      <w:pPr>
        <w:spacing w:before="183" w:line="60" w:lineRule="exact"/>
      </w:pPr>
      <w:r>
        <w:rPr>
          <w:position w:val="-1"/>
        </w:rPr>
        <w:drawing>
          <wp:inline distT="0" distB="0" distL="0" distR="0">
            <wp:extent cx="5524500" cy="3746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24556" cy="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13" w:line="223" w:lineRule="auto"/>
        <w:ind w:left="4680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z w:val="35"/>
          <w:szCs w:val="35"/>
        </w:rPr>
        <w:t>冀卫办职健函(2024)5号</w:t>
      </w:r>
    </w:p>
    <w:p>
      <w:pPr>
        <w:spacing w:line="353" w:lineRule="auto"/>
        <w:rPr>
          <w:rFonts w:ascii="Arial"/>
          <w:sz w:val="21"/>
        </w:rPr>
      </w:pPr>
    </w:p>
    <w:p>
      <w:pPr>
        <w:pStyle w:val="2"/>
        <w:spacing w:before="150" w:line="217" w:lineRule="auto"/>
        <w:ind w:left="1896"/>
        <w:rPr>
          <w:sz w:val="46"/>
          <w:szCs w:val="46"/>
        </w:rPr>
      </w:pPr>
      <w:r>
        <w:rPr>
          <w:b/>
          <w:bCs/>
          <w:spacing w:val="3"/>
          <w:sz w:val="46"/>
          <w:szCs w:val="46"/>
        </w:rPr>
        <w:t>河北省卫生健康委员会</w:t>
      </w:r>
    </w:p>
    <w:p>
      <w:pPr>
        <w:pStyle w:val="2"/>
        <w:spacing w:line="219" w:lineRule="auto"/>
        <w:ind w:left="1866"/>
        <w:rPr>
          <w:sz w:val="46"/>
          <w:szCs w:val="46"/>
        </w:rPr>
      </w:pPr>
      <w:r>
        <w:rPr>
          <w:b/>
          <w:bCs/>
          <w:spacing w:val="11"/>
          <w:sz w:val="46"/>
          <w:szCs w:val="46"/>
        </w:rPr>
        <w:t>河北省疾病预防控制局</w:t>
      </w:r>
    </w:p>
    <w:p>
      <w:pPr>
        <w:pStyle w:val="2"/>
        <w:spacing w:before="35" w:line="219" w:lineRule="auto"/>
        <w:ind w:left="906"/>
        <w:rPr>
          <w:sz w:val="46"/>
          <w:szCs w:val="46"/>
        </w:rPr>
      </w:pPr>
      <w:r>
        <w:rPr>
          <w:b/>
          <w:bCs/>
          <w:spacing w:val="11"/>
          <w:sz w:val="46"/>
          <w:szCs w:val="46"/>
        </w:rPr>
        <w:t>关于转发国家卫生健康委办公厅</w:t>
      </w:r>
    </w:p>
    <w:p>
      <w:pPr>
        <w:pStyle w:val="2"/>
        <w:spacing w:before="5" w:line="220" w:lineRule="auto"/>
        <w:ind w:left="156"/>
        <w:rPr>
          <w:sz w:val="46"/>
          <w:szCs w:val="46"/>
        </w:rPr>
      </w:pPr>
      <w:r>
        <w:rPr>
          <w:b/>
          <w:bCs/>
          <w:spacing w:val="13"/>
          <w:sz w:val="46"/>
          <w:szCs w:val="46"/>
        </w:rPr>
        <w:t>国家疾控局综合司《职业病防治“三项</w:t>
      </w:r>
    </w:p>
    <w:p>
      <w:pPr>
        <w:pStyle w:val="2"/>
        <w:spacing w:before="2" w:line="220" w:lineRule="auto"/>
        <w:ind w:left="1626"/>
        <w:rPr>
          <w:sz w:val="46"/>
          <w:szCs w:val="46"/>
        </w:rPr>
      </w:pPr>
      <w:r>
        <w:rPr>
          <w:b/>
          <w:bCs/>
          <w:spacing w:val="11"/>
          <w:sz w:val="46"/>
          <w:szCs w:val="46"/>
        </w:rPr>
        <w:t>行动”工作方案》的通知</w:t>
      </w:r>
    </w:p>
    <w:p>
      <w:pPr>
        <w:spacing w:line="351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111" w:line="320" w:lineRule="auto"/>
        <w:ind w:left="150" w:right="339"/>
        <w:jc w:val="both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1"/>
          <w:sz w:val="34"/>
          <w:szCs w:val="34"/>
        </w:rPr>
        <w:t>各市(含定州、辛集市)卫生健康委(局)、疾控局、雄安</w:t>
      </w:r>
      <w:r>
        <w:rPr>
          <w:rFonts w:ascii="仿宋" w:hAnsi="仿宋" w:eastAsia="仿宋" w:cs="仿宋"/>
          <w:spacing w:val="15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4"/>
          <w:sz w:val="34"/>
          <w:szCs w:val="34"/>
        </w:rPr>
        <w:t>新区管委会公共服务局，省疾病预防控制中</w:t>
      </w:r>
      <w:r>
        <w:rPr>
          <w:rFonts w:ascii="仿宋" w:hAnsi="仿宋" w:eastAsia="仿宋" w:cs="仿宋"/>
          <w:spacing w:val="-25"/>
          <w:sz w:val="34"/>
          <w:szCs w:val="34"/>
        </w:rPr>
        <w:t>心，省第八人民</w:t>
      </w:r>
    </w:p>
    <w:p>
      <w:pPr>
        <w:spacing w:before="1" w:line="220" w:lineRule="auto"/>
        <w:ind w:left="15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0"/>
          <w:sz w:val="34"/>
          <w:szCs w:val="34"/>
        </w:rPr>
        <w:t>医院，有关单位：</w:t>
      </w:r>
    </w:p>
    <w:p>
      <w:pPr>
        <w:spacing w:before="168" w:line="305" w:lineRule="auto"/>
        <w:ind w:left="150" w:right="245" w:firstLine="619"/>
        <w:jc w:val="both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22"/>
          <w:sz w:val="35"/>
          <w:szCs w:val="35"/>
        </w:rPr>
        <w:t xml:space="preserve">现将国家卫生健康委办公厅国家疾控局综合司《关于 </w:t>
      </w:r>
      <w:r>
        <w:rPr>
          <w:rFonts w:ascii="仿宋" w:hAnsi="仿宋" w:eastAsia="仿宋" w:cs="仿宋"/>
          <w:spacing w:val="-29"/>
          <w:sz w:val="35"/>
          <w:szCs w:val="35"/>
        </w:rPr>
        <w:t xml:space="preserve">印发职业病防治“三项行动”工作方案的通知》(国卫办职 </w:t>
      </w:r>
      <w:r>
        <w:rPr>
          <w:rFonts w:ascii="仿宋" w:hAnsi="仿宋" w:eastAsia="仿宋" w:cs="仿宋"/>
          <w:spacing w:val="-21"/>
          <w:sz w:val="35"/>
          <w:szCs w:val="35"/>
        </w:rPr>
        <w:t>健函〔2024〕146号，附件1)转发你们，并提出以下意见，</w:t>
      </w:r>
    </w:p>
    <w:p>
      <w:pPr>
        <w:spacing w:line="220" w:lineRule="auto"/>
        <w:ind w:left="150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35"/>
          <w:sz w:val="35"/>
          <w:szCs w:val="35"/>
        </w:rPr>
        <w:t>请一并抓好落实。</w:t>
      </w:r>
    </w:p>
    <w:p>
      <w:pPr>
        <w:spacing w:before="187" w:line="213" w:lineRule="auto"/>
        <w:ind w:left="77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6"/>
          <w:sz w:val="32"/>
          <w:szCs w:val="32"/>
        </w:rPr>
        <w:t>一、高度重视，协同推进</w:t>
      </w:r>
    </w:p>
    <w:p>
      <w:pPr>
        <w:spacing w:before="201" w:line="310" w:lineRule="auto"/>
        <w:ind w:left="150" w:right="342" w:firstLine="619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36"/>
          <w:sz w:val="35"/>
          <w:szCs w:val="35"/>
        </w:rPr>
        <w:t>各市卫生健康委、疾控局务必高度重视，要结合实际、</w:t>
      </w:r>
      <w:r>
        <w:rPr>
          <w:rFonts w:ascii="仿宋" w:hAnsi="仿宋" w:eastAsia="仿宋" w:cs="仿宋"/>
          <w:spacing w:val="18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35"/>
          <w:sz w:val="35"/>
          <w:szCs w:val="35"/>
        </w:rPr>
        <w:t>精心部署、明确分工、细化措施，积极发挥职业病防治工作</w:t>
      </w:r>
    </w:p>
    <w:p>
      <w:pPr>
        <w:spacing w:line="220" w:lineRule="auto"/>
        <w:ind w:left="150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32"/>
          <w:sz w:val="35"/>
          <w:szCs w:val="35"/>
        </w:rPr>
        <w:t>联席会议机制作用，将“三项行动”作为重点工作予</w:t>
      </w:r>
      <w:r>
        <w:rPr>
          <w:rFonts w:ascii="仿宋" w:hAnsi="仿宋" w:eastAsia="仿宋" w:cs="仿宋"/>
          <w:spacing w:val="-33"/>
          <w:sz w:val="35"/>
          <w:szCs w:val="35"/>
        </w:rPr>
        <w:t>以协同</w:t>
      </w:r>
    </w:p>
    <w:p>
      <w:pPr>
        <w:spacing w:line="220" w:lineRule="auto"/>
        <w:rPr>
          <w:rFonts w:ascii="仿宋" w:hAnsi="仿宋" w:eastAsia="仿宋" w:cs="仿宋"/>
          <w:sz w:val="35"/>
          <w:szCs w:val="35"/>
        </w:rPr>
        <w:sectPr>
          <w:footerReference r:id="rId3" w:type="default"/>
          <w:pgSz w:w="11900" w:h="16830"/>
          <w:pgMar w:top="1416" w:right="1609" w:bottom="1183" w:left="1589" w:header="0" w:footer="924" w:gutter="0"/>
        </w:sectPr>
      </w:pPr>
    </w:p>
    <w:p>
      <w:pPr>
        <w:spacing w:before="150" w:line="345" w:lineRule="auto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推进。要按照“摸清底数、突出重点、协同推进、务求实效”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的原则，建立完善的专项行动与日常监管相结合的长效机制  和措施，统筹协调职业健康各项工作，将“三项行动”与职  业病危害专项治理、职业病危害因素监测、三同时核查、定  期检测、现状评价、宣传培训、职业健康检查、健康企业创  </w:t>
      </w:r>
      <w:r>
        <w:rPr>
          <w:rFonts w:ascii="仿宋" w:hAnsi="仿宋" w:eastAsia="仿宋" w:cs="仿宋"/>
          <w:spacing w:val="5"/>
          <w:sz w:val="31"/>
          <w:szCs w:val="31"/>
        </w:rPr>
        <w:t>建、健康达人评选等工作紧密结合，提升各项工作的互补性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与协同性。</w:t>
      </w:r>
    </w:p>
    <w:p>
      <w:pPr>
        <w:spacing w:before="219" w:line="221" w:lineRule="auto"/>
        <w:ind w:left="67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z w:val="31"/>
          <w:szCs w:val="31"/>
        </w:rPr>
        <w:t>二、明确目标、高质完成</w:t>
      </w:r>
    </w:p>
    <w:p>
      <w:pPr>
        <w:spacing w:before="259" w:line="340" w:lineRule="auto"/>
        <w:ind w:right="209" w:firstLine="84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(一)职业病危害项目申报扩面行动。</w:t>
      </w:r>
      <w:r>
        <w:rPr>
          <w:rFonts w:ascii="仿宋" w:hAnsi="仿宋" w:eastAsia="仿宋" w:cs="仿宋"/>
          <w:spacing w:val="8"/>
          <w:sz w:val="31"/>
          <w:szCs w:val="31"/>
        </w:rPr>
        <w:t>2024年底，工业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领域职业病危害严重行业用人单位职业病危害项目申报达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到全覆盖，2024年度职业病危害申报数量与2023年相比增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长30%以上。2025年底，职业病危害严重行业10人及以上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用人单位职业病危害项目应报尽报，2025年度职业病危害申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报数量与2023年相比增长50%以上，职业病危害项目申报质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量明显提升。</w:t>
      </w:r>
    </w:p>
    <w:p>
      <w:pPr>
        <w:pStyle w:val="2"/>
        <w:spacing w:before="259" w:line="346" w:lineRule="auto"/>
        <w:ind w:right="200" w:firstLine="84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</w:rPr>
        <w:t>(二)中小微企业职业健康帮扶行动。</w:t>
      </w:r>
      <w:r>
        <w:rPr>
          <w:rFonts w:ascii="仿宋" w:hAnsi="仿宋" w:eastAsia="仿宋" w:cs="仿宋"/>
          <w:spacing w:val="10"/>
          <w:sz w:val="31"/>
          <w:szCs w:val="31"/>
        </w:rPr>
        <w:t>推动中小微企业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规范职业健康管理，提升劳动者的职业健康保护水平。2024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年完成帮扶数量5348家，2025年完成帮扶数量1657家，两 </w:t>
      </w:r>
      <w:r>
        <w:rPr>
          <w:spacing w:val="15"/>
          <w:sz w:val="31"/>
          <w:szCs w:val="31"/>
        </w:rPr>
        <w:t>年共计7005家。2025年底，帮扶企业职业病危害项目</w:t>
      </w:r>
      <w:r>
        <w:rPr>
          <w:spacing w:val="14"/>
          <w:sz w:val="31"/>
          <w:szCs w:val="31"/>
        </w:rPr>
        <w:t>申报</w:t>
      </w:r>
      <w:r>
        <w:rPr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率、工作场所职业病危害因素定期检测率、职业健康检查开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展率、职业健康培训率均达到100%。</w:t>
      </w:r>
    </w:p>
    <w:p>
      <w:pPr>
        <w:spacing w:before="187" w:line="344" w:lineRule="auto"/>
        <w:ind w:right="86" w:firstLine="84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(三)职业病防治机构提质合规行动。</w:t>
      </w:r>
      <w:r>
        <w:rPr>
          <w:rFonts w:ascii="仿宋" w:hAnsi="仿宋" w:eastAsia="仿宋" w:cs="仿宋"/>
          <w:spacing w:val="9"/>
          <w:sz w:val="31"/>
          <w:szCs w:val="31"/>
        </w:rPr>
        <w:t>进一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步规范职业 </w:t>
      </w:r>
      <w:r>
        <w:rPr>
          <w:rFonts w:ascii="仿宋" w:hAnsi="仿宋" w:eastAsia="仿宋" w:cs="仿宋"/>
          <w:spacing w:val="-2"/>
          <w:sz w:val="31"/>
          <w:szCs w:val="31"/>
        </w:rPr>
        <w:t>病防治机构开展职业病危害监测评估、工程防护、检测评价、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诊断救治、职业健康检查等工作，提高技术支撑能力和服务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4" w:type="default"/>
          <w:pgSz w:w="11920" w:h="16830"/>
          <w:pgMar w:top="1430" w:right="1758" w:bottom="1185" w:left="1749" w:header="0" w:footer="921" w:gutter="0"/>
        </w:sectPr>
      </w:pPr>
    </w:p>
    <w:p>
      <w:pPr>
        <w:spacing w:before="164" w:line="345" w:lineRule="auto"/>
        <w:ind w:right="16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质量，加大监管力度，严肃查处违法违规行为，切实维护劳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动者职业健康权益。到2025年底实现以下目标：</w:t>
      </w:r>
      <w:r>
        <w:rPr>
          <w:rFonts w:ascii="仿宋" w:hAnsi="仿宋" w:eastAsia="仿宋" w:cs="仿宋"/>
          <w:spacing w:val="1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一是疾控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中心和职业病防治院所达到《河北省加强职业健康技术支撑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体系建设实施意见》(冀卫办职健〔2020〕3号)建设标准；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市级疾控中心和职业病防治院全部通过能力确认；疾控中心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和职业病防治院所能够承担95%以上的国家职业病防治监测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任务。二是各类职业病防治机构能够按规定填报统计信息报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告卡，上报率100%(职业健康检查机构个</w:t>
      </w:r>
      <w:r>
        <w:rPr>
          <w:rFonts w:ascii="仿宋" w:hAnsi="仿宋" w:eastAsia="仿宋" w:cs="仿宋"/>
          <w:spacing w:val="9"/>
          <w:sz w:val="31"/>
          <w:szCs w:val="31"/>
        </w:rPr>
        <w:t>案信息报告率与职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业病诊断机构报告率均≥95%),疑似职业病进入诊断程序比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例大幅度提高；不报、迟报、瞒报、谎报等违法案</w:t>
      </w:r>
      <w:r>
        <w:rPr>
          <w:rFonts w:ascii="仿宋" w:hAnsi="仿宋" w:eastAsia="仿宋" w:cs="仿宋"/>
          <w:spacing w:val="4"/>
          <w:sz w:val="31"/>
          <w:szCs w:val="31"/>
        </w:rPr>
        <w:t>件查处率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达到100%。三是各类职业病防治机构监管覆盖率达到100%,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质控覆盖率每年达到100%(职业健康检查机构和职业病</w:t>
      </w:r>
      <w:r>
        <w:rPr>
          <w:rFonts w:ascii="仿宋" w:hAnsi="仿宋" w:eastAsia="仿宋" w:cs="仿宋"/>
          <w:spacing w:val="9"/>
          <w:sz w:val="31"/>
          <w:szCs w:val="31"/>
        </w:rPr>
        <w:t>诊断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机构每两年达到100%),质控问题整改率达到1</w:t>
      </w:r>
      <w:r>
        <w:rPr>
          <w:rFonts w:ascii="仿宋" w:hAnsi="仿宋" w:eastAsia="仿宋" w:cs="仿宋"/>
          <w:spacing w:val="19"/>
          <w:sz w:val="31"/>
          <w:szCs w:val="31"/>
        </w:rPr>
        <w:t>00%;出具虚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假或者失实的证明文件的违法案件查处率达到100%。</w:t>
      </w:r>
    </w:p>
    <w:p>
      <w:pPr>
        <w:spacing w:before="246" w:line="213" w:lineRule="auto"/>
        <w:ind w:left="63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7"/>
          <w:sz w:val="31"/>
          <w:szCs w:val="31"/>
        </w:rPr>
        <w:t>三、</w:t>
      </w:r>
      <w:r>
        <w:rPr>
          <w:rFonts w:ascii="黑体" w:hAnsi="黑体" w:eastAsia="黑体" w:cs="黑体"/>
          <w:spacing w:val="-61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7"/>
          <w:sz w:val="31"/>
          <w:szCs w:val="31"/>
        </w:rPr>
        <w:t>细化措施，扎实推进</w:t>
      </w:r>
    </w:p>
    <w:p>
      <w:pPr>
        <w:spacing w:before="232" w:line="227" w:lineRule="auto"/>
        <w:ind w:left="81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1"/>
          <w:sz w:val="31"/>
          <w:szCs w:val="31"/>
        </w:rPr>
        <w:t>(一)职业病危害项目申报扩面行动。</w:t>
      </w:r>
    </w:p>
    <w:p>
      <w:pPr>
        <w:spacing w:before="190" w:line="346" w:lineRule="auto"/>
        <w:ind w:right="186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3"/>
          <w:sz w:val="31"/>
          <w:szCs w:val="31"/>
        </w:rPr>
        <w:t>1.建立数据库。</w:t>
      </w:r>
      <w:r>
        <w:rPr>
          <w:rFonts w:ascii="仿宋" w:hAnsi="仿宋" w:eastAsia="仿宋" w:cs="仿宋"/>
          <w:spacing w:val="3"/>
          <w:sz w:val="31"/>
          <w:szCs w:val="31"/>
        </w:rPr>
        <w:t>省卫生健康委将用人单位基本数据推送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给各地，各市卫生健康委、疾控局应及时推送</w:t>
      </w:r>
      <w:r>
        <w:rPr>
          <w:rFonts w:ascii="仿宋" w:hAnsi="仿宋" w:eastAsia="仿宋" w:cs="仿宋"/>
          <w:spacing w:val="8"/>
          <w:sz w:val="31"/>
          <w:szCs w:val="31"/>
        </w:rPr>
        <w:t>至各县(市、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区),并据此开展初筛核实工作，完善基础信息，建立“职</w:t>
      </w:r>
    </w:p>
    <w:p>
      <w:pPr>
        <w:spacing w:before="2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业病危害用人单位基本数据库”,于2024年9</w:t>
      </w:r>
      <w:r>
        <w:rPr>
          <w:rFonts w:ascii="仿宋" w:hAnsi="仿宋" w:eastAsia="仿宋" w:cs="仿宋"/>
          <w:spacing w:val="18"/>
          <w:sz w:val="31"/>
          <w:szCs w:val="31"/>
        </w:rPr>
        <w:t>月31日前，</w:t>
      </w:r>
    </w:p>
    <w:p>
      <w:pPr>
        <w:pStyle w:val="2"/>
        <w:spacing w:before="210" w:line="346" w:lineRule="auto"/>
        <w:ind w:right="2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将经核实后的“职业病危害用人单位数据库”(附件2</w:t>
      </w:r>
      <w:r>
        <w:rPr>
          <w:rFonts w:ascii="仿宋" w:hAnsi="仿宋" w:eastAsia="仿宋" w:cs="仿宋"/>
          <w:spacing w:val="13"/>
          <w:sz w:val="31"/>
          <w:szCs w:val="31"/>
        </w:rPr>
        <w:t>),以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sz w:val="31"/>
          <w:szCs w:val="31"/>
        </w:rPr>
        <w:t>exce</w:t>
      </w:r>
      <w:r>
        <w:rPr>
          <w:spacing w:val="5"/>
          <w:sz w:val="31"/>
          <w:szCs w:val="31"/>
        </w:rPr>
        <w:t>1</w:t>
      </w:r>
      <w:r>
        <w:rPr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电子版形式，报送至省卫生健康委指定邮箱，并在之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后的每季度末，报送更新的“数据库”。</w:t>
      </w:r>
    </w:p>
    <w:p>
      <w:pPr>
        <w:spacing w:before="234" w:line="222" w:lineRule="auto"/>
        <w:ind w:left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4"/>
          <w:sz w:val="31"/>
          <w:szCs w:val="31"/>
        </w:rPr>
        <w:t>2.加强培训指导。</w:t>
      </w:r>
      <w:r>
        <w:rPr>
          <w:rFonts w:ascii="仿宋" w:hAnsi="仿宋" w:eastAsia="仿宋" w:cs="仿宋"/>
          <w:spacing w:val="4"/>
          <w:sz w:val="31"/>
          <w:szCs w:val="31"/>
        </w:rPr>
        <w:t>各市卫生健康委、疾控局应严格按照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5" w:type="default"/>
          <w:pgSz w:w="11920" w:h="16830"/>
          <w:pgMar w:top="1430" w:right="1788" w:bottom="1159" w:left="1759" w:header="0" w:footer="891" w:gutter="0"/>
        </w:sectPr>
      </w:pPr>
    </w:p>
    <w:p>
      <w:pPr>
        <w:spacing w:before="147" w:line="346" w:lineRule="auto"/>
        <w:ind w:right="2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职业病危害项目申报扩面行动的要求，于2024年6月底前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启动职业病危害项目申报告知动员工作，通</w:t>
      </w:r>
      <w:r>
        <w:rPr>
          <w:rFonts w:ascii="仿宋" w:hAnsi="仿宋" w:eastAsia="仿宋" w:cs="仿宋"/>
          <w:spacing w:val="4"/>
          <w:sz w:val="31"/>
          <w:szCs w:val="31"/>
        </w:rPr>
        <w:t>过召开线上线下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会议、发放告知单和公众号发布等多种形式开展</w:t>
      </w:r>
      <w:r>
        <w:rPr>
          <w:rFonts w:ascii="仿宋" w:hAnsi="仿宋" w:eastAsia="仿宋" w:cs="仿宋"/>
          <w:spacing w:val="2"/>
          <w:sz w:val="31"/>
          <w:szCs w:val="31"/>
        </w:rPr>
        <w:t>申报动员；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于2024年9月底前组织协调卫生监督机构、职业卫生技术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支撑机构和技术服务机构开展对用人单位的入户指导；每年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至少组织1次职业病危害项目申报专题培训，提高申报数量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-7"/>
          <w:sz w:val="31"/>
          <w:szCs w:val="31"/>
        </w:rPr>
        <w:t>和质量。</w:t>
      </w:r>
    </w:p>
    <w:p>
      <w:pPr>
        <w:spacing w:before="230" w:line="344" w:lineRule="auto"/>
        <w:ind w:right="183" w:firstLine="68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3"/>
          <w:sz w:val="31"/>
          <w:szCs w:val="31"/>
        </w:rPr>
        <w:t>3.开展调度抽查。</w:t>
      </w:r>
      <w:r>
        <w:rPr>
          <w:rFonts w:ascii="仿宋" w:hAnsi="仿宋" w:eastAsia="仿宋" w:cs="仿宋"/>
          <w:spacing w:val="3"/>
          <w:sz w:val="31"/>
          <w:szCs w:val="31"/>
        </w:rPr>
        <w:t>各市卫生健康委、疾控局要利用</w:t>
      </w:r>
      <w:r>
        <w:rPr>
          <w:rFonts w:ascii="仿宋" w:hAnsi="仿宋" w:eastAsia="仿宋" w:cs="仿宋"/>
          <w:spacing w:val="2"/>
          <w:sz w:val="31"/>
          <w:szCs w:val="31"/>
        </w:rPr>
        <w:t>申报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系统，对申报情况进行周统计、月调度、季通报，及时指导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解决申报扩面工作中遇到的问题和困难。省卫生健康委、省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疾控局每年至少开展1次申报扩面行动工作抽查。</w:t>
      </w:r>
    </w:p>
    <w:p>
      <w:pPr>
        <w:spacing w:before="202" w:line="225" w:lineRule="auto"/>
        <w:ind w:left="85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</w:rPr>
        <w:t>(二)中小微企业职业健康帮扶行动。</w:t>
      </w:r>
    </w:p>
    <w:p>
      <w:pPr>
        <w:spacing w:before="195" w:line="346" w:lineRule="auto"/>
        <w:ind w:right="126" w:firstLine="68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21"/>
          <w:sz w:val="31"/>
          <w:szCs w:val="31"/>
        </w:rPr>
        <w:t>1.确定帮扶名单。</w:t>
      </w:r>
      <w:r>
        <w:rPr>
          <w:rFonts w:ascii="仿宋" w:hAnsi="仿宋" w:eastAsia="仿宋" w:cs="仿宋"/>
          <w:spacing w:val="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各市卫生健康委、疾控局应</w:t>
      </w:r>
      <w:r>
        <w:rPr>
          <w:rFonts w:ascii="仿宋" w:hAnsi="仿宋" w:eastAsia="仿宋" w:cs="仿宋"/>
          <w:spacing w:val="20"/>
          <w:sz w:val="31"/>
          <w:szCs w:val="31"/>
        </w:rPr>
        <w:t>根据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2024-2025年各市中小微企业帮扶任务表(附件3),以纳入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职业病危害专项治理的中小微企业为主要依据，确定的各市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中小微企业帮扶名单，并于2024年6月30日前，将中小微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企业帮扶台账(附件4)前四项内容，以</w:t>
      </w:r>
      <w:r>
        <w:rPr>
          <w:rFonts w:ascii="Times New Roman" w:hAnsi="Times New Roman" w:eastAsia="Times New Roman" w:cs="Times New Roman"/>
          <w:sz w:val="31"/>
          <w:szCs w:val="31"/>
        </w:rPr>
        <w:t>excel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15"/>
          <w:sz w:val="31"/>
          <w:szCs w:val="31"/>
        </w:rPr>
        <w:t>电子版形式，</w:t>
      </w:r>
    </w:p>
    <w:p>
      <w:pPr>
        <w:spacing w:before="2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报送至省卫生健康委指定邮箱。</w:t>
      </w:r>
    </w:p>
    <w:p>
      <w:pPr>
        <w:spacing w:before="216" w:line="346" w:lineRule="auto"/>
        <w:ind w:right="113" w:firstLine="68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4"/>
          <w:sz w:val="31"/>
          <w:szCs w:val="31"/>
        </w:rPr>
        <w:t>2.组建帮扶团队。</w:t>
      </w:r>
      <w:r>
        <w:rPr>
          <w:rFonts w:ascii="仿宋" w:hAnsi="仿宋" w:eastAsia="仿宋" w:cs="仿宋"/>
          <w:spacing w:val="4"/>
          <w:sz w:val="31"/>
          <w:szCs w:val="31"/>
        </w:rPr>
        <w:t>各市卫生健康委、疾控局要以各级疾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控中心、职业病防治院所、卫生监督机构、职业卫生专家库、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职业卫生技术服务机构为依托，组建帮扶专家团队，强化中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小微企业职业健康帮扶技术支持力量。帮扶团队要在2024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年6月底前组建完成，留档备查。</w:t>
      </w:r>
    </w:p>
    <w:p>
      <w:pPr>
        <w:spacing w:before="222" w:line="221" w:lineRule="auto"/>
        <w:ind w:left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3"/>
          <w:sz w:val="31"/>
          <w:szCs w:val="31"/>
        </w:rPr>
        <w:t>3.建立帮扶台账。</w:t>
      </w:r>
      <w:r>
        <w:rPr>
          <w:rFonts w:ascii="仿宋" w:hAnsi="仿宋" w:eastAsia="仿宋" w:cs="仿宋"/>
          <w:spacing w:val="3"/>
          <w:sz w:val="31"/>
          <w:szCs w:val="31"/>
        </w:rPr>
        <w:t>各市卫生健康委、疾控局要及时建立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6" w:type="default"/>
          <w:pgSz w:w="11920" w:h="16830"/>
          <w:pgMar w:top="1430" w:right="1788" w:bottom="1202" w:left="1720" w:header="0" w:footer="944" w:gutter="0"/>
        </w:sectPr>
      </w:pPr>
    </w:p>
    <w:p>
      <w:pPr>
        <w:pStyle w:val="2"/>
        <w:spacing w:before="158" w:line="345" w:lineRule="auto"/>
        <w:ind w:right="17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和填报2024年各市中小微企业帮扶台账。从2024年7月份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起，每月月底将帮扶台账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sz w:val="31"/>
          <w:szCs w:val="31"/>
        </w:rPr>
        <w:t>excel</w:t>
      </w:r>
      <w:r>
        <w:rPr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电子版，报至省卫生健康委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指定邮箱。</w:t>
      </w:r>
    </w:p>
    <w:p>
      <w:pPr>
        <w:spacing w:before="194" w:line="346" w:lineRule="auto"/>
        <w:ind w:right="169" w:firstLine="65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2"/>
          <w:sz w:val="31"/>
          <w:szCs w:val="31"/>
        </w:rPr>
        <w:t>4.开展“五个一”帮扶。</w:t>
      </w:r>
      <w:r>
        <w:rPr>
          <w:rFonts w:ascii="仿宋" w:hAnsi="仿宋" w:eastAsia="仿宋" w:cs="仿宋"/>
          <w:spacing w:val="2"/>
          <w:sz w:val="31"/>
          <w:szCs w:val="31"/>
        </w:rPr>
        <w:t>各市卫生健康委、疾控局要提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升服务意识，开展“五个一”帮扶：开展一次职业病危害因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素辨识、建立一套实用的职业健康管理制度、开展一次现场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职业病危害告知和防护用品配置指导、举办一次职业健康培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训、开展一次超标岗位职业病危害治理。“五个一”帮扶进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展情况要及时纳入帮扶台帐。</w:t>
      </w:r>
    </w:p>
    <w:p>
      <w:pPr>
        <w:spacing w:before="219" w:line="227" w:lineRule="auto"/>
        <w:ind w:left="83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7"/>
          <w:sz w:val="31"/>
          <w:szCs w:val="31"/>
        </w:rPr>
        <w:t>(三)职业病防治机构提质合规行动。</w:t>
      </w:r>
    </w:p>
    <w:p>
      <w:pPr>
        <w:spacing w:before="214" w:line="346" w:lineRule="auto"/>
        <w:ind w:right="75" w:firstLine="65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3"/>
          <w:sz w:val="31"/>
          <w:szCs w:val="31"/>
        </w:rPr>
        <w:t>1.开展能力自查。</w:t>
      </w:r>
      <w:r>
        <w:rPr>
          <w:rFonts w:ascii="仿宋" w:hAnsi="仿宋" w:eastAsia="仿宋" w:cs="仿宋"/>
          <w:spacing w:val="3"/>
          <w:sz w:val="31"/>
          <w:szCs w:val="31"/>
        </w:rPr>
        <w:t>各市卫生健康委、疾控局</w:t>
      </w:r>
      <w:r>
        <w:rPr>
          <w:rFonts w:ascii="仿宋" w:hAnsi="仿宋" w:eastAsia="仿宋" w:cs="仿宋"/>
          <w:spacing w:val="2"/>
          <w:sz w:val="31"/>
          <w:szCs w:val="31"/>
        </w:rPr>
        <w:t>要按照“一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地一策”、“一单位一方案”的原则，对照《河北省加强职业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健康技术支撑体系建设实施意见》开展自查，并建立</w:t>
      </w:r>
      <w:r>
        <w:rPr>
          <w:rFonts w:ascii="仿宋" w:hAnsi="仿宋" w:eastAsia="仿宋" w:cs="仿宋"/>
          <w:spacing w:val="-4"/>
          <w:sz w:val="31"/>
          <w:szCs w:val="31"/>
        </w:rPr>
        <w:t>底档库，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留档备查。针对存在的差距，深入分析查找问题根源，制定 </w:t>
      </w:r>
      <w:r>
        <w:rPr>
          <w:rFonts w:ascii="仿宋" w:hAnsi="仿宋" w:eastAsia="仿宋" w:cs="仿宋"/>
          <w:spacing w:val="5"/>
          <w:sz w:val="31"/>
          <w:szCs w:val="31"/>
        </w:rPr>
        <w:t>能力提升“攻坚”计划，进行投入整改，持续提升疾控中心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和职业病防治院技术支撑能力。</w:t>
      </w:r>
    </w:p>
    <w:p>
      <w:pPr>
        <w:spacing w:before="200" w:line="346" w:lineRule="auto"/>
        <w:ind w:right="136" w:firstLine="65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5"/>
          <w:sz w:val="31"/>
          <w:szCs w:val="31"/>
        </w:rPr>
        <w:t>2.实施能力确认。</w:t>
      </w:r>
      <w:r>
        <w:rPr>
          <w:rFonts w:ascii="仿宋" w:hAnsi="仿宋" w:eastAsia="仿宋" w:cs="仿宋"/>
          <w:spacing w:val="15"/>
          <w:sz w:val="31"/>
          <w:szCs w:val="31"/>
        </w:rPr>
        <w:t>省卫生健康委将在2024年12月底前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组织对市级疾控中心、职业病防治院开展职业病防治能力确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认。鼓励有条件的机构取得职业卫生、放射卫生技术服</w:t>
      </w:r>
      <w:r>
        <w:rPr>
          <w:rFonts w:ascii="仿宋" w:hAnsi="仿宋" w:eastAsia="仿宋" w:cs="仿宋"/>
          <w:spacing w:val="4"/>
          <w:sz w:val="31"/>
          <w:szCs w:val="31"/>
        </w:rPr>
        <w:t>务机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构资质。省级、市级疾控中心和职业病防治院，每年要深入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50家以上用人单位开展技术指导、帮扶等工作，用人</w:t>
      </w:r>
      <w:r>
        <w:rPr>
          <w:rFonts w:ascii="仿宋" w:hAnsi="仿宋" w:eastAsia="仿宋" w:cs="仿宋"/>
          <w:spacing w:val="5"/>
          <w:sz w:val="31"/>
          <w:szCs w:val="31"/>
        </w:rPr>
        <w:t>单位所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在地的县区级疾控中心要全程参与，增强职业病危害因素识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别和防控能力。各市要于每年12月15日前，将市级疾控中</w:t>
      </w:r>
    </w:p>
    <w:p>
      <w:pPr>
        <w:spacing w:before="2" w:line="22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</w:rPr>
        <w:t>心/职业病防治院帮扶用人单位情况表(附件5</w:t>
      </w:r>
      <w:r>
        <w:rPr>
          <w:rFonts w:ascii="仿宋" w:hAnsi="仿宋" w:eastAsia="仿宋" w:cs="仿宋"/>
          <w:spacing w:val="30"/>
          <w:sz w:val="31"/>
          <w:szCs w:val="31"/>
        </w:rPr>
        <w:t>),以</w:t>
      </w:r>
      <w:r>
        <w:rPr>
          <w:rFonts w:ascii="Times New Roman" w:hAnsi="Times New Roman" w:eastAsia="Times New Roman" w:cs="Times New Roman"/>
          <w:sz w:val="31"/>
          <w:szCs w:val="31"/>
        </w:rPr>
        <w:t>exce</w:t>
      </w:r>
      <w:r>
        <w:rPr>
          <w:rFonts w:ascii="Times New Roman" w:hAnsi="Times New Roman" w:eastAsia="Times New Roman" w:cs="Times New Roman"/>
          <w:spacing w:val="30"/>
          <w:sz w:val="31"/>
          <w:szCs w:val="31"/>
        </w:rPr>
        <w:t>1</w:t>
      </w:r>
    </w:p>
    <w:p>
      <w:pPr>
        <w:spacing w:line="220" w:lineRule="auto"/>
        <w:rPr>
          <w:rFonts w:ascii="Times New Roman" w:hAnsi="Times New Roman" w:eastAsia="Times New Roman" w:cs="Times New Roman"/>
          <w:sz w:val="31"/>
          <w:szCs w:val="31"/>
        </w:rPr>
        <w:sectPr>
          <w:footerReference r:id="rId7" w:type="default"/>
          <w:pgSz w:w="11920" w:h="16830"/>
          <w:pgMar w:top="1430" w:right="1788" w:bottom="1187" w:left="1770" w:header="0" w:footer="921" w:gutter="0"/>
        </w:sectPr>
      </w:pPr>
    </w:p>
    <w:p>
      <w:pPr>
        <w:spacing w:before="157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电子版形式，报省卫生健康委指定邮箱。</w:t>
      </w:r>
    </w:p>
    <w:p>
      <w:pPr>
        <w:spacing w:before="212" w:line="345" w:lineRule="auto"/>
        <w:ind w:right="172" w:firstLine="66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3"/>
          <w:sz w:val="31"/>
          <w:szCs w:val="31"/>
        </w:rPr>
        <w:t>3.加强过程监管。</w:t>
      </w:r>
      <w:r>
        <w:rPr>
          <w:rFonts w:ascii="仿宋" w:hAnsi="仿宋" w:eastAsia="仿宋" w:cs="仿宋"/>
          <w:spacing w:val="3"/>
          <w:sz w:val="31"/>
          <w:szCs w:val="31"/>
        </w:rPr>
        <w:t>各市卫生健康委、疾控局要加强质控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工作与监督执法双向联动，对于质控发现的</w:t>
      </w:r>
      <w:r>
        <w:rPr>
          <w:rFonts w:ascii="仿宋" w:hAnsi="仿宋" w:eastAsia="仿宋" w:cs="仿宋"/>
          <w:spacing w:val="3"/>
          <w:sz w:val="31"/>
          <w:szCs w:val="31"/>
        </w:rPr>
        <w:t>问题，实行动态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销号，确保问题整改到位。涉嫌违法的，填报《违法线索移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交表》,报送至相应的疾控主管部门。各级疾控主管部门都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要落实属地监管职责，织密织牢过程贯通、区域联动的监管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网络。对发现的违法违规行为，要依法严肃追究法律责任。</w:t>
      </w:r>
    </w:p>
    <w:p>
      <w:pPr>
        <w:spacing w:before="193" w:line="213" w:lineRule="auto"/>
        <w:ind w:left="66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4"/>
          <w:sz w:val="31"/>
          <w:szCs w:val="31"/>
        </w:rPr>
        <w:t>四</w:t>
      </w:r>
      <w:r>
        <w:rPr>
          <w:rFonts w:ascii="黑体" w:hAnsi="黑体" w:eastAsia="黑体" w:cs="黑体"/>
          <w:spacing w:val="-14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4"/>
          <w:sz w:val="31"/>
          <w:szCs w:val="31"/>
        </w:rPr>
        <w:t>、按时报送，及时总结</w:t>
      </w:r>
    </w:p>
    <w:p>
      <w:pPr>
        <w:spacing w:before="180" w:line="369" w:lineRule="auto"/>
        <w:ind w:right="160" w:firstLine="45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各市卫生健康委要认真做好阶段性总结工作，</w:t>
      </w:r>
      <w:r>
        <w:rPr>
          <w:rFonts w:ascii="仿宋" w:hAnsi="仿宋" w:eastAsia="仿宋" w:cs="仿宋"/>
          <w:sz w:val="31"/>
          <w:szCs w:val="31"/>
        </w:rPr>
        <w:t xml:space="preserve">分别于2024 </w:t>
      </w:r>
      <w:r>
        <w:rPr>
          <w:rFonts w:ascii="仿宋" w:hAnsi="仿宋" w:eastAsia="仿宋" w:cs="仿宋"/>
          <w:spacing w:val="15"/>
          <w:sz w:val="31"/>
          <w:szCs w:val="31"/>
        </w:rPr>
        <w:t>年、2025年12月31日前将本年度工作总结报送省卫生健康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委指定邮箱。年度总结报告应重点突出、数据详实，主要包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括年度工作进展情况、取得的成效、存在的问题以及下年度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工作打算等。省卫生健康委和省疾病预防控制局将联合对各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地区“三项行动”工作进展进行调研指导，组织专家开展工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作督查和技术指导，对“三项行动”进展缓慢，工作质量不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高的适时进行通报。</w:t>
      </w:r>
    </w:p>
    <w:p>
      <w:pPr>
        <w:spacing w:line="263" w:lineRule="auto"/>
        <w:rPr>
          <w:rFonts w:ascii="Arial"/>
          <w:sz w:val="21"/>
        </w:rPr>
      </w:pPr>
    </w:p>
    <w:p>
      <w:pPr>
        <w:spacing w:before="101" w:line="224" w:lineRule="auto"/>
        <w:ind w:left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联系人：</w:t>
      </w:r>
    </w:p>
    <w:p>
      <w:pPr>
        <w:spacing w:before="212" w:line="341" w:lineRule="auto"/>
        <w:ind w:left="660" w:right="141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省卫生健委：苏丽联系电话：0311-66165219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省疾控局：李军联系电话：0311-66163016</w:t>
      </w:r>
    </w:p>
    <w:p>
      <w:pPr>
        <w:spacing w:line="212" w:lineRule="auto"/>
        <w:ind w:left="66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联系邮箱：</w:t>
      </w:r>
      <w:r>
        <w:rPr>
          <w:rFonts w:ascii="仿宋" w:hAnsi="仿宋" w:eastAsia="仿宋" w:cs="仿宋"/>
          <w:spacing w:val="5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hbwjzyjkohebws   jkxx.com</w:t>
      </w:r>
    </w:p>
    <w:p>
      <w:pPr>
        <w:spacing w:line="359" w:lineRule="auto"/>
        <w:rPr>
          <w:rFonts w:ascii="Arial"/>
          <w:sz w:val="21"/>
        </w:rPr>
      </w:pPr>
    </w:p>
    <w:p>
      <w:pPr>
        <w:spacing w:line="359" w:lineRule="auto"/>
        <w:rPr>
          <w:rFonts w:ascii="Arial"/>
          <w:sz w:val="21"/>
        </w:rPr>
      </w:pPr>
    </w:p>
    <w:p>
      <w:pPr>
        <w:spacing w:before="101" w:line="590" w:lineRule="exact"/>
        <w:ind w:left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position w:val="21"/>
          <w:sz w:val="31"/>
          <w:szCs w:val="31"/>
        </w:rPr>
        <w:t>附件：1. 《关于印发职业病防治“三项行动”工作方案</w:t>
      </w:r>
    </w:p>
    <w:p>
      <w:pPr>
        <w:spacing w:before="2" w:line="226" w:lineRule="auto"/>
        <w:ind w:left="21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的通知》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footerReference r:id="rId8" w:type="default"/>
          <w:pgSz w:w="11920" w:h="16830"/>
          <w:pgMar w:top="1430" w:right="1788" w:bottom="1199" w:left="1739" w:header="0" w:footer="931" w:gutter="0"/>
        </w:sectPr>
      </w:pPr>
    </w:p>
    <w:p>
      <w:pPr>
        <w:spacing w:before="256" w:line="221" w:lineRule="auto"/>
        <w:ind w:left="16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4"/>
          <w:sz w:val="30"/>
          <w:szCs w:val="30"/>
        </w:rPr>
        <w:t>2.职业病危害用人单位数据库</w:t>
      </w:r>
    </w:p>
    <w:p>
      <w:pPr>
        <w:spacing w:before="222" w:line="578" w:lineRule="exact"/>
        <w:ind w:left="16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position w:val="20"/>
          <w:sz w:val="30"/>
          <w:szCs w:val="30"/>
        </w:rPr>
        <w:t>3.2024-2025年各市中小微企业帮扶任务表</w:t>
      </w:r>
    </w:p>
    <w:p>
      <w:pPr>
        <w:spacing w:before="1" w:line="220" w:lineRule="auto"/>
        <w:ind w:left="16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sz w:val="30"/>
          <w:szCs w:val="30"/>
        </w:rPr>
        <w:t>4.2024年各市中小微企业帮扶台账</w:t>
      </w:r>
    </w:p>
    <w:p>
      <w:pPr>
        <w:spacing w:before="232" w:line="569" w:lineRule="exact"/>
        <w:ind w:left="16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position w:val="19"/>
          <w:sz w:val="30"/>
          <w:szCs w:val="30"/>
        </w:rPr>
        <w:t>5.市级疾控中心/职业病防治院帮扶用人</w:t>
      </w:r>
    </w:p>
    <w:p>
      <w:pPr>
        <w:spacing w:before="1" w:line="220" w:lineRule="auto"/>
        <w:ind w:left="195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sz w:val="30"/>
          <w:szCs w:val="30"/>
        </w:rPr>
        <w:t>单位情况表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98" w:line="222" w:lineRule="auto"/>
        <w:ind w:left="5124"/>
        <w:rPr>
          <w:rFonts w:ascii="仿宋" w:hAnsi="仿宋" w:eastAsia="仿宋" w:cs="仿宋"/>
          <w:sz w:val="30"/>
          <w:szCs w:val="30"/>
        </w:rPr>
      </w:pPr>
      <w:r>
        <w:pict>
          <v:shape id="_x0000_s1026" o:spid="_x0000_s1026" o:spt="202" type="#_x0000_t202" style="position:absolute;left:0pt;margin-left:17.7pt;margin-top:4.4pt;height:20.1pt;width:143.95pt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2" w:lineRule="auto"/>
                    <w:ind w:left="20"/>
                    <w:rPr>
                      <w:rFonts w:ascii="仿宋" w:hAnsi="仿宋" w:eastAsia="仿宋" w:cs="仿宋"/>
                      <w:sz w:val="30"/>
                      <w:szCs w:val="30"/>
                    </w:rPr>
                  </w:pPr>
                  <w:r>
                    <w:rPr>
                      <w:rFonts w:ascii="仿宋" w:hAnsi="仿宋" w:eastAsia="仿宋" w:cs="仿宋"/>
                      <w:spacing w:val="15"/>
                      <w:sz w:val="30"/>
                      <w:szCs w:val="30"/>
                    </w:rPr>
                    <w:t>河北卫生健康委员会</w:t>
                  </w:r>
                </w:p>
              </w:txbxContent>
            </v:textbox>
          </v:shape>
        </w:pict>
      </w:r>
      <w:bookmarkStart w:id="0" w:name="_GoBack"/>
      <w:bookmarkEnd w:id="0"/>
      <w:r>
        <w:rPr>
          <w:rFonts w:ascii="仿宋" w:hAnsi="仿宋" w:eastAsia="仿宋" w:cs="仿宋"/>
          <w:spacing w:val="12"/>
          <w:sz w:val="30"/>
          <w:szCs w:val="30"/>
        </w:rPr>
        <w:t>河北疾病预防控制局</w:t>
      </w:r>
    </w:p>
    <w:p>
      <w:pPr>
        <w:spacing w:before="282" w:line="222" w:lineRule="auto"/>
        <w:ind w:left="529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7"/>
          <w:sz w:val="30"/>
          <w:szCs w:val="30"/>
        </w:rPr>
        <w:t>2024年5月28日</w:t>
      </w:r>
    </w:p>
    <w:p>
      <w:pPr>
        <w:spacing w:line="357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98" w:line="222" w:lineRule="auto"/>
        <w:ind w:left="20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0"/>
          <w:sz w:val="30"/>
          <w:szCs w:val="30"/>
        </w:rPr>
        <w:t>(信息公开形式：主动公开)</w:t>
      </w:r>
    </w:p>
    <w:p>
      <w:pPr>
        <w:spacing w:line="222" w:lineRule="auto"/>
        <w:rPr>
          <w:rFonts w:ascii="仿宋" w:hAnsi="仿宋" w:eastAsia="仿宋" w:cs="仿宋"/>
          <w:sz w:val="30"/>
          <w:szCs w:val="30"/>
        </w:rPr>
        <w:sectPr>
          <w:footerReference r:id="rId9" w:type="default"/>
          <w:pgSz w:w="11900" w:h="16830"/>
          <w:pgMar w:top="1430" w:right="1785" w:bottom="1088" w:left="1785" w:header="0" w:footer="792" w:gutter="0"/>
        </w:sect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pStyle w:val="2"/>
        <w:spacing w:before="224" w:line="191" w:lineRule="auto"/>
        <w:ind w:left="39"/>
        <w:rPr>
          <w:sz w:val="69"/>
          <w:szCs w:val="69"/>
        </w:rPr>
      </w:pPr>
      <w:r>
        <w:rPr>
          <w:position w:val="-8"/>
          <w:sz w:val="69"/>
          <w:szCs w:val="69"/>
        </w:rPr>
        <w:drawing>
          <wp:inline distT="0" distB="0" distL="0" distR="0">
            <wp:extent cx="419100" cy="44259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19132" cy="44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pacing w:val="64"/>
          <w:sz w:val="69"/>
          <w:szCs w:val="69"/>
        </w:rPr>
        <w:t>家卫生健康委员会办公厅</w:t>
      </w:r>
    </w:p>
    <w:p>
      <w:pPr>
        <w:pStyle w:val="2"/>
        <w:spacing w:before="1" w:line="213" w:lineRule="auto"/>
        <w:ind w:left="29"/>
        <w:rPr>
          <w:sz w:val="69"/>
          <w:szCs w:val="69"/>
        </w:rPr>
      </w:pPr>
      <w:r>
        <w:rPr>
          <w:position w:val="-10"/>
          <w:sz w:val="69"/>
          <w:szCs w:val="69"/>
        </w:rPr>
        <w:drawing>
          <wp:inline distT="0" distB="0" distL="0" distR="0">
            <wp:extent cx="419100" cy="43624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19132" cy="43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pacing w:val="70"/>
          <w:sz w:val="69"/>
          <w:szCs w:val="69"/>
        </w:rPr>
        <w:t>家疾病预防控制局综合司</w:t>
      </w:r>
    </w:p>
    <w:p>
      <w:pPr>
        <w:spacing w:before="159" w:line="60" w:lineRule="exact"/>
      </w:pPr>
      <w:r>
        <w:rPr>
          <w:position w:val="-1"/>
        </w:rPr>
        <w:drawing>
          <wp:inline distT="0" distB="0" distL="0" distR="0">
            <wp:extent cx="5822950" cy="3810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822981" cy="3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51" w:line="223" w:lineRule="auto"/>
        <w:ind w:left="53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3"/>
          <w:sz w:val="32"/>
          <w:szCs w:val="32"/>
        </w:rPr>
        <w:t>国卫办职健函〔2024〕146号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pStyle w:val="2"/>
        <w:spacing w:before="137" w:line="219" w:lineRule="auto"/>
        <w:ind w:left="2815"/>
        <w:rPr>
          <w:sz w:val="42"/>
          <w:szCs w:val="42"/>
        </w:rPr>
      </w:pPr>
      <w:r>
        <w:rPr>
          <w:b/>
          <w:bCs/>
          <w:spacing w:val="-24"/>
          <w:sz w:val="42"/>
          <w:szCs w:val="42"/>
        </w:rPr>
        <w:t>关于印发职业病防治</w:t>
      </w:r>
    </w:p>
    <w:p>
      <w:pPr>
        <w:pStyle w:val="2"/>
        <w:spacing w:before="153" w:line="220" w:lineRule="auto"/>
        <w:ind w:left="2045"/>
        <w:rPr>
          <w:sz w:val="42"/>
          <w:szCs w:val="42"/>
        </w:rPr>
      </w:pPr>
      <w:r>
        <w:rPr>
          <w:b/>
          <w:bCs/>
          <w:spacing w:val="-42"/>
          <w:sz w:val="42"/>
          <w:szCs w:val="42"/>
        </w:rPr>
        <w:t>“三项行动”工作方案的通知</w:t>
      </w:r>
    </w:p>
    <w:p>
      <w:pPr>
        <w:spacing w:line="269" w:lineRule="auto"/>
        <w:rPr>
          <w:rFonts w:ascii="Arial"/>
          <w:sz w:val="21"/>
        </w:rPr>
      </w:pPr>
    </w:p>
    <w:p>
      <w:pPr>
        <w:spacing w:before="104" w:line="593" w:lineRule="exact"/>
        <w:ind w:left="4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0"/>
          <w:position w:val="20"/>
          <w:sz w:val="32"/>
          <w:szCs w:val="32"/>
        </w:rPr>
        <w:t>各省、自治区、直辖市及新疆生产建设兵团卫生健康委、疾</w:t>
      </w:r>
      <w:r>
        <w:rPr>
          <w:rFonts w:ascii="仿宋" w:hAnsi="仿宋" w:eastAsia="仿宋" w:cs="仿宋"/>
          <w:spacing w:val="-41"/>
          <w:position w:val="20"/>
          <w:sz w:val="32"/>
          <w:szCs w:val="32"/>
        </w:rPr>
        <w:t>控局，职</w:t>
      </w:r>
    </w:p>
    <w:p>
      <w:pPr>
        <w:spacing w:before="1" w:line="222" w:lineRule="auto"/>
        <w:ind w:left="4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4"/>
          <w:sz w:val="32"/>
          <w:szCs w:val="32"/>
        </w:rPr>
        <w:t>业卫生中心，中国疾控中心：</w:t>
      </w:r>
    </w:p>
    <w:p>
      <w:pPr>
        <w:spacing w:before="218" w:line="359" w:lineRule="auto"/>
        <w:ind w:left="409" w:right="408" w:firstLine="629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4"/>
          <w:sz w:val="33"/>
          <w:szCs w:val="33"/>
        </w:rPr>
        <w:t>为进一步加大职业病防治工作力度，现将《职业病危害项目申</w:t>
      </w:r>
      <w:r>
        <w:rPr>
          <w:rFonts w:ascii="仿宋" w:hAnsi="仿宋" w:eastAsia="仿宋" w:cs="仿宋"/>
          <w:spacing w:val="1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6"/>
          <w:sz w:val="33"/>
          <w:szCs w:val="33"/>
        </w:rPr>
        <w:t>报扩面行动(2024—2025年)工作方案》《中小微</w:t>
      </w:r>
      <w:r>
        <w:rPr>
          <w:rFonts w:ascii="仿宋" w:hAnsi="仿宋" w:eastAsia="仿宋" w:cs="仿宋"/>
          <w:spacing w:val="-27"/>
          <w:sz w:val="33"/>
          <w:szCs w:val="33"/>
        </w:rPr>
        <w:t>企业职业健康帮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6"/>
          <w:sz w:val="33"/>
          <w:szCs w:val="33"/>
        </w:rPr>
        <w:t>扶行动(2024一2025年)工作方案》《职业病防治机构提质合规行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7"/>
          <w:sz w:val="33"/>
          <w:szCs w:val="33"/>
        </w:rPr>
        <w:t>动(2024—2025年)工作方案》印发给你们，请结合实际认真贯彻</w:t>
      </w:r>
    </w:p>
    <w:p>
      <w:pPr>
        <w:spacing w:line="222" w:lineRule="auto"/>
        <w:ind w:left="4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8"/>
          <w:sz w:val="33"/>
          <w:szCs w:val="33"/>
        </w:rPr>
        <w:t>落实。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05" w:line="645" w:lineRule="exact"/>
        <w:ind w:left="10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position w:val="24"/>
          <w:sz w:val="32"/>
          <w:szCs w:val="32"/>
        </w:rPr>
        <w:t>附件：1.职业病危害项目申报扩面行动(2024—2025</w:t>
      </w:r>
      <w:r>
        <w:rPr>
          <w:rFonts w:ascii="仿宋" w:hAnsi="仿宋" w:eastAsia="仿宋" w:cs="仿宋"/>
          <w:spacing w:val="-17"/>
          <w:position w:val="24"/>
          <w:sz w:val="32"/>
          <w:szCs w:val="32"/>
        </w:rPr>
        <w:t>年)工作</w:t>
      </w:r>
    </w:p>
    <w:p>
      <w:pPr>
        <w:spacing w:line="223" w:lineRule="auto"/>
        <w:ind w:left="20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方案</w:t>
      </w:r>
    </w:p>
    <w:p>
      <w:pPr>
        <w:spacing w:before="258" w:line="645" w:lineRule="exact"/>
        <w:ind w:left="17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position w:val="24"/>
          <w:sz w:val="32"/>
          <w:szCs w:val="32"/>
        </w:rPr>
        <w:t>2.中小微企业职业健康帮扶行动(2024—20</w:t>
      </w:r>
      <w:r>
        <w:rPr>
          <w:rFonts w:ascii="仿宋" w:hAnsi="仿宋" w:eastAsia="仿宋" w:cs="仿宋"/>
          <w:spacing w:val="-11"/>
          <w:position w:val="24"/>
          <w:sz w:val="32"/>
          <w:szCs w:val="32"/>
        </w:rPr>
        <w:t>25年)工作</w:t>
      </w:r>
    </w:p>
    <w:p>
      <w:pPr>
        <w:spacing w:before="1" w:line="223" w:lineRule="auto"/>
        <w:ind w:left="20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方案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  <w:sectPr>
          <w:footerReference r:id="rId10" w:type="default"/>
          <w:pgSz w:w="12080" w:h="16940"/>
          <w:pgMar w:top="1439" w:right="1549" w:bottom="1250" w:left="1319" w:header="0" w:footer="1190" w:gutter="0"/>
        </w:sect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91" w:line="654" w:lineRule="exact"/>
        <w:ind w:left="124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pacing w:val="16"/>
          <w:position w:val="28"/>
          <w:sz w:val="28"/>
          <w:szCs w:val="28"/>
        </w:rPr>
        <w:t>3.职业病防治机构提质合规行动(2024—2025</w:t>
      </w:r>
      <w:r>
        <w:rPr>
          <w:rFonts w:ascii="仿宋" w:hAnsi="仿宋" w:eastAsia="仿宋" w:cs="仿宋"/>
          <w:b/>
          <w:bCs/>
          <w:spacing w:val="15"/>
          <w:position w:val="28"/>
          <w:sz w:val="28"/>
          <w:szCs w:val="28"/>
        </w:rPr>
        <w:t>年)工作</w:t>
      </w:r>
    </w:p>
    <w:p>
      <w:pPr>
        <w:spacing w:line="223" w:lineRule="auto"/>
        <w:ind w:left="147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pacing w:val="3"/>
          <w:sz w:val="28"/>
          <w:szCs w:val="28"/>
        </w:rPr>
        <w:t>方案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91" w:line="223" w:lineRule="auto"/>
        <w:ind w:left="791"/>
        <w:rPr>
          <w:rFonts w:ascii="仿宋" w:hAnsi="仿宋" w:eastAsia="仿宋" w:cs="仿宋"/>
          <w:sz w:val="28"/>
          <w:szCs w:val="28"/>
        </w:rPr>
      </w:pPr>
      <w:r>
        <w:pict>
          <v:shape id="_x0000_s1027" o:spid="_x0000_s1027" o:spt="202" type="#_x0000_t202" style="position:absolute;left:0pt;margin-left:233.1pt;margin-top:3.55pt;height:18.95pt;width:107.3pt;z-index:2516643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3" w:lineRule="auto"/>
                    <w:ind w:left="20"/>
                    <w:rPr>
                      <w:rFonts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 w:cs="仿宋"/>
                      <w:spacing w:val="20"/>
                      <w:sz w:val="28"/>
                      <w:szCs w:val="28"/>
                    </w:rPr>
                    <w:t>图家疾控片综合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-799465</wp:posOffset>
            </wp:positionV>
            <wp:extent cx="1569085" cy="158750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69226" cy="158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14"/>
          <w:sz w:val="28"/>
          <w:szCs w:val="28"/>
        </w:rPr>
        <w:t>国表四…健小委办以于</w:t>
      </w:r>
    </w:p>
    <w:p>
      <w:pPr>
        <w:spacing w:before="234" w:line="222" w:lineRule="auto"/>
        <w:ind w:left="4762"/>
        <w:rPr>
          <w:rFonts w:ascii="仿宋" w:hAnsi="仿宋" w:eastAsia="仿宋" w:cs="仿宋"/>
          <w:sz w:val="38"/>
          <w:szCs w:val="38"/>
        </w:rPr>
      </w:pPr>
      <w: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-925195</wp:posOffset>
            </wp:positionV>
            <wp:extent cx="1504950" cy="150495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04984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56"/>
          <w:sz w:val="38"/>
          <w:szCs w:val="38"/>
        </w:rPr>
        <w:t>202年月)日</w:t>
      </w:r>
    </w:p>
    <w:p>
      <w:pPr>
        <w:spacing w:before="137" w:line="222" w:lineRule="auto"/>
        <w:ind w:left="47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>(信息公开形式：主动公开)</w:t>
      </w:r>
    </w:p>
    <w:p>
      <w:pPr>
        <w:spacing w:line="222" w:lineRule="auto"/>
        <w:rPr>
          <w:rFonts w:ascii="仿宋" w:hAnsi="仿宋" w:eastAsia="仿宋" w:cs="仿宋"/>
          <w:sz w:val="28"/>
          <w:szCs w:val="28"/>
        </w:rPr>
        <w:sectPr>
          <w:footerReference r:id="rId11" w:type="default"/>
          <w:pgSz w:w="11920" w:h="16830"/>
          <w:pgMar w:top="1430" w:right="1788" w:bottom="1796" w:left="1788" w:header="0" w:footer="1518" w:gutter="0"/>
        </w:sect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pStyle w:val="2"/>
        <w:spacing w:before="91" w:line="219" w:lineRule="auto"/>
        <w:ind w:left="4"/>
        <w:rPr>
          <w:sz w:val="28"/>
          <w:szCs w:val="28"/>
        </w:rPr>
      </w:pPr>
      <w:r>
        <w:rPr>
          <w:b/>
          <w:bCs/>
          <w:spacing w:val="27"/>
          <w:sz w:val="28"/>
          <w:szCs w:val="28"/>
        </w:rPr>
        <w:t>附件1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pStyle w:val="2"/>
        <w:spacing w:before="124" w:line="690" w:lineRule="exact"/>
        <w:ind w:left="1615"/>
        <w:rPr>
          <w:sz w:val="38"/>
          <w:szCs w:val="38"/>
        </w:rPr>
      </w:pPr>
      <w:r>
        <w:rPr>
          <w:b/>
          <w:bCs/>
          <w:spacing w:val="2"/>
          <w:position w:val="23"/>
          <w:sz w:val="38"/>
          <w:szCs w:val="38"/>
        </w:rPr>
        <w:t>职业病危害项目申报扩面行动</w:t>
      </w:r>
    </w:p>
    <w:p>
      <w:pPr>
        <w:pStyle w:val="2"/>
        <w:spacing w:line="219" w:lineRule="auto"/>
        <w:ind w:left="1975"/>
        <w:rPr>
          <w:sz w:val="38"/>
          <w:szCs w:val="38"/>
        </w:rPr>
      </w:pPr>
      <w:r>
        <w:rPr>
          <w:b/>
          <w:bCs/>
          <w:spacing w:val="3"/>
          <w:sz w:val="38"/>
          <w:szCs w:val="38"/>
        </w:rPr>
        <w:t>(2024—2025年)工作方案</w:t>
      </w:r>
    </w:p>
    <w:p>
      <w:pPr>
        <w:spacing w:line="343" w:lineRule="auto"/>
        <w:rPr>
          <w:rFonts w:ascii="Arial"/>
          <w:sz w:val="21"/>
        </w:rPr>
      </w:pPr>
    </w:p>
    <w:p>
      <w:pPr>
        <w:spacing w:line="344" w:lineRule="auto"/>
        <w:rPr>
          <w:rFonts w:ascii="Arial"/>
          <w:sz w:val="21"/>
        </w:rPr>
      </w:pPr>
    </w:p>
    <w:p>
      <w:pPr>
        <w:spacing w:before="91" w:line="376" w:lineRule="auto"/>
        <w:ind w:right="223" w:firstLine="589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1"/>
          <w:sz w:val="28"/>
          <w:szCs w:val="28"/>
        </w:rPr>
        <w:t xml:space="preserve">职业病危害项目申报是职业病防治工作的一项重要举措，是 </w:t>
      </w:r>
      <w:r>
        <w:rPr>
          <w:rFonts w:ascii="仿宋" w:hAnsi="仿宋" w:eastAsia="仿宋" w:cs="仿宋"/>
          <w:spacing w:val="2"/>
          <w:sz w:val="28"/>
          <w:szCs w:val="28"/>
        </w:rPr>
        <w:t>用人单位的法定义务，也是各级卫生健康行政部门、疾控主管</w:t>
      </w:r>
      <w:r>
        <w:rPr>
          <w:rFonts w:ascii="仿宋" w:hAnsi="仿宋" w:eastAsia="仿宋" w:cs="仿宋"/>
          <w:spacing w:val="1"/>
          <w:sz w:val="28"/>
          <w:szCs w:val="28"/>
        </w:rPr>
        <w:t>部门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了解和掌握辖区内用人单位情况，为其提供职业健康指导服务，进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行科学防治、精准施策的基础。为贯彻落实《职业病防治法》和《国</w:t>
      </w:r>
      <w:r>
        <w:rPr>
          <w:rFonts w:ascii="仿宋" w:hAnsi="仿宋" w:eastAsia="仿宋" w:cs="仿宋"/>
          <w:spacing w:val="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5"/>
          <w:sz w:val="28"/>
          <w:szCs w:val="28"/>
        </w:rPr>
        <w:t>家职业病防治规划(2021—2025年)》,推动各地区摸清</w:t>
      </w:r>
      <w:r>
        <w:rPr>
          <w:rFonts w:ascii="仿宋" w:hAnsi="仿宋" w:eastAsia="仿宋" w:cs="仿宋"/>
          <w:spacing w:val="14"/>
          <w:sz w:val="28"/>
          <w:szCs w:val="28"/>
        </w:rPr>
        <w:t>辖区内存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3"/>
          <w:sz w:val="28"/>
          <w:szCs w:val="28"/>
        </w:rPr>
        <w:t>在职业病危害用人单位底数，促进用人单位依法履行职业病防治</w:t>
      </w:r>
    </w:p>
    <w:p>
      <w:pPr>
        <w:spacing w:line="22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主体责任，保障劳动者职业健康权益，特制定本工作方案。</w:t>
      </w:r>
    </w:p>
    <w:p>
      <w:pPr>
        <w:spacing w:before="246" w:line="222" w:lineRule="auto"/>
        <w:ind w:left="593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2"/>
          <w:sz w:val="28"/>
          <w:szCs w:val="28"/>
        </w:rPr>
        <w:t>一、工作目标</w:t>
      </w:r>
    </w:p>
    <w:p>
      <w:pPr>
        <w:spacing w:before="216" w:line="376" w:lineRule="auto"/>
        <w:ind w:right="201" w:firstLine="589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2"/>
          <w:sz w:val="28"/>
          <w:szCs w:val="28"/>
        </w:rPr>
        <w:t>通过开展职业病危害项目申报扩面行动，2024年底，工业领</w:t>
      </w:r>
      <w:r>
        <w:rPr>
          <w:rFonts w:ascii="仿宋" w:hAnsi="仿宋" w:eastAsia="仿宋" w:cs="仿宋"/>
          <w:spacing w:val="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5"/>
          <w:sz w:val="28"/>
          <w:szCs w:val="28"/>
        </w:rPr>
        <w:t>域职业病危害严重行业用人单位职业病危害项目</w:t>
      </w:r>
      <w:r>
        <w:rPr>
          <w:rFonts w:ascii="仿宋" w:hAnsi="仿宋" w:eastAsia="仿宋" w:cs="仿宋"/>
          <w:spacing w:val="24"/>
          <w:sz w:val="28"/>
          <w:szCs w:val="28"/>
        </w:rPr>
        <w:t>申报达到全覆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1"/>
          <w:sz w:val="28"/>
          <w:szCs w:val="28"/>
        </w:rPr>
        <w:t>盖。2025年底，职业病危害严重行业10人及以上用人单位职业</w:t>
      </w:r>
    </w:p>
    <w:p>
      <w:pPr>
        <w:spacing w:before="1" w:line="222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>病危害项目应报尽报，职业病危害项目申报质量明显提升。</w:t>
      </w:r>
    </w:p>
    <w:p>
      <w:pPr>
        <w:pStyle w:val="2"/>
        <w:spacing w:before="261" w:line="219" w:lineRule="auto"/>
        <w:ind w:left="593"/>
        <w:outlineLvl w:val="1"/>
        <w:rPr>
          <w:sz w:val="28"/>
          <w:szCs w:val="28"/>
        </w:rPr>
      </w:pPr>
      <w:r>
        <w:rPr>
          <w:b/>
          <w:bCs/>
          <w:spacing w:val="-21"/>
          <w:sz w:val="28"/>
          <w:szCs w:val="28"/>
        </w:rPr>
        <w:t>二、工作任务</w:t>
      </w:r>
    </w:p>
    <w:p>
      <w:pPr>
        <w:spacing w:before="211" w:line="221" w:lineRule="auto"/>
        <w:ind w:left="589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0"/>
          <w:sz w:val="28"/>
          <w:szCs w:val="28"/>
        </w:rPr>
        <w:t>(一)建立可能存在职业病危害用人单位数据</w:t>
      </w:r>
      <w:r>
        <w:rPr>
          <w:rFonts w:ascii="楷体" w:hAnsi="楷体" w:eastAsia="楷体" w:cs="楷体"/>
          <w:spacing w:val="9"/>
          <w:sz w:val="28"/>
          <w:szCs w:val="28"/>
        </w:rPr>
        <w:t>库。</w:t>
      </w:r>
    </w:p>
    <w:p>
      <w:pPr>
        <w:spacing w:before="241" w:line="579" w:lineRule="exact"/>
        <w:ind w:left="58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3"/>
          <w:position w:val="22"/>
          <w:sz w:val="28"/>
          <w:szCs w:val="28"/>
        </w:rPr>
        <w:t>省级卫生健康行政部门、疾控主管部门以职业病危害现状调</w:t>
      </w:r>
    </w:p>
    <w:p>
      <w:pPr>
        <w:spacing w:line="22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8"/>
          <w:szCs w:val="28"/>
        </w:rPr>
        <w:t>查、职业病危害专项治理工作中的企业名单等数据为基础，加强与</w:t>
      </w:r>
    </w:p>
    <w:p>
      <w:pPr>
        <w:spacing w:line="220" w:lineRule="auto"/>
        <w:rPr>
          <w:rFonts w:ascii="仿宋" w:hAnsi="仿宋" w:eastAsia="仿宋" w:cs="仿宋"/>
          <w:sz w:val="28"/>
          <w:szCs w:val="28"/>
        </w:rPr>
        <w:sectPr>
          <w:footerReference r:id="rId12" w:type="default"/>
          <w:pgSz w:w="11920" w:h="16830"/>
          <w:pgMar w:top="1430" w:right="1788" w:bottom="2043" w:left="1700" w:header="0" w:footer="1770" w:gutter="0"/>
        </w:sect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88" w:line="376" w:lineRule="auto"/>
        <w:ind w:right="147" w:firstLine="134"/>
        <w:jc w:val="both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5"/>
          <w:sz w:val="27"/>
          <w:szCs w:val="27"/>
        </w:rPr>
        <w:t>发展改革、工业和信息化、人力资源社会保障、应急管理、国资委、</w:t>
      </w:r>
      <w:r>
        <w:rPr>
          <w:rFonts w:ascii="仿宋" w:hAnsi="仿宋" w:eastAsia="仿宋" w:cs="仿宋"/>
          <w:spacing w:val="4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6"/>
          <w:sz w:val="27"/>
          <w:szCs w:val="27"/>
        </w:rPr>
        <w:t>税务、市场监管、统计、工会等职业病防治工作联席会议成员单位 和相关部门的联系沟通，获取辖区内用人单位名称、行业、所在地 等基础信息，对相关用人单位信息进行补充完善。根据《建设</w:t>
      </w:r>
      <w:r>
        <w:rPr>
          <w:rFonts w:ascii="仿宋" w:hAnsi="仿宋" w:eastAsia="仿宋" w:cs="仿宋"/>
          <w:spacing w:val="15"/>
          <w:sz w:val="27"/>
          <w:szCs w:val="27"/>
        </w:rPr>
        <w:t>项目</w:t>
      </w:r>
      <w:r>
        <w:rPr>
          <w:rFonts w:ascii="仿宋" w:hAnsi="仿宋" w:eastAsia="仿宋" w:cs="仿宋"/>
          <w:sz w:val="27"/>
          <w:szCs w:val="27"/>
        </w:rPr>
        <w:t xml:space="preserve">  </w:t>
      </w:r>
      <w:r>
        <w:rPr>
          <w:rFonts w:ascii="仿宋" w:hAnsi="仿宋" w:eastAsia="仿宋" w:cs="仿宋"/>
          <w:spacing w:val="19"/>
          <w:sz w:val="27"/>
          <w:szCs w:val="27"/>
        </w:rPr>
        <w:t>职业病危害风险分类管理目录》(国卫办职健发〔20</w:t>
      </w:r>
      <w:r>
        <w:rPr>
          <w:rFonts w:ascii="仿宋" w:hAnsi="仿宋" w:eastAsia="仿宋" w:cs="仿宋"/>
          <w:spacing w:val="18"/>
          <w:sz w:val="27"/>
          <w:szCs w:val="27"/>
        </w:rPr>
        <w:t xml:space="preserve">21〕5号)中各 </w:t>
      </w:r>
      <w:r>
        <w:rPr>
          <w:rFonts w:ascii="仿宋" w:hAnsi="仿宋" w:eastAsia="仿宋" w:cs="仿宋"/>
          <w:spacing w:val="26"/>
          <w:sz w:val="27"/>
          <w:szCs w:val="27"/>
        </w:rPr>
        <w:t>行业用人单位可能存在职业病危害的风险程度，对用人单位基础</w:t>
      </w:r>
      <w:r>
        <w:rPr>
          <w:rFonts w:ascii="仿宋" w:hAnsi="仿宋" w:eastAsia="仿宋" w:cs="仿宋"/>
          <w:spacing w:val="4"/>
          <w:sz w:val="27"/>
          <w:szCs w:val="27"/>
        </w:rPr>
        <w:t xml:space="preserve">  </w:t>
      </w:r>
      <w:r>
        <w:rPr>
          <w:rFonts w:ascii="仿宋" w:hAnsi="仿宋" w:eastAsia="仿宋" w:cs="仿宋"/>
          <w:spacing w:val="20"/>
          <w:sz w:val="27"/>
          <w:szCs w:val="27"/>
        </w:rPr>
        <w:t xml:space="preserve">信息进行初筛，建立职业病危害用人单位数据库(以下简称“数据 </w:t>
      </w:r>
      <w:r>
        <w:rPr>
          <w:rFonts w:ascii="仿宋" w:hAnsi="仿宋" w:eastAsia="仿宋" w:cs="仿宋"/>
          <w:spacing w:val="11"/>
          <w:sz w:val="27"/>
          <w:szCs w:val="27"/>
        </w:rPr>
        <w:t xml:space="preserve">库”)。各省要将“数据库”印发至地市级卫生健康行政部门、疾控 </w:t>
      </w:r>
      <w:r>
        <w:rPr>
          <w:rFonts w:ascii="仿宋" w:hAnsi="仿宋" w:eastAsia="仿宋" w:cs="仿宋"/>
          <w:spacing w:val="26"/>
          <w:sz w:val="27"/>
          <w:szCs w:val="27"/>
        </w:rPr>
        <w:t>主管部门，由其组织县区级卫生健康行政部门、疾控主管部门对</w:t>
      </w:r>
      <w:r>
        <w:rPr>
          <w:rFonts w:ascii="仿宋" w:hAnsi="仿宋" w:eastAsia="仿宋" w:cs="仿宋"/>
          <w:spacing w:val="2"/>
          <w:sz w:val="27"/>
          <w:szCs w:val="27"/>
        </w:rPr>
        <w:t xml:space="preserve">  </w:t>
      </w:r>
      <w:r>
        <w:rPr>
          <w:rFonts w:ascii="仿宋" w:hAnsi="仿宋" w:eastAsia="仿宋" w:cs="仿宋"/>
          <w:spacing w:val="11"/>
          <w:sz w:val="27"/>
          <w:szCs w:val="27"/>
        </w:rPr>
        <w:t>“数据库”进行确认。在职业病危害专项治理、职业卫生监督执</w:t>
      </w:r>
      <w:r>
        <w:rPr>
          <w:rFonts w:ascii="仿宋" w:hAnsi="仿宋" w:eastAsia="仿宋" w:cs="仿宋"/>
          <w:spacing w:val="10"/>
          <w:sz w:val="27"/>
          <w:szCs w:val="27"/>
        </w:rPr>
        <w:t>法、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26"/>
          <w:sz w:val="27"/>
          <w:szCs w:val="27"/>
        </w:rPr>
        <w:t xml:space="preserve">工作场所职业病危害因素监测以及职业卫生技术服务机构开展服 </w:t>
      </w:r>
      <w:r>
        <w:rPr>
          <w:rFonts w:ascii="仿宋" w:hAnsi="仿宋" w:eastAsia="仿宋" w:cs="仿宋"/>
          <w:spacing w:val="20"/>
          <w:sz w:val="27"/>
          <w:szCs w:val="27"/>
        </w:rPr>
        <w:t xml:space="preserve">务和卫生监督协管员日常工作中发现的，未申报、停产停业6个月 </w:t>
      </w:r>
      <w:r>
        <w:rPr>
          <w:rFonts w:ascii="仿宋" w:hAnsi="仿宋" w:eastAsia="仿宋" w:cs="仿宋"/>
          <w:spacing w:val="15"/>
          <w:sz w:val="27"/>
          <w:szCs w:val="27"/>
        </w:rPr>
        <w:t>以内但未注销的用人单位必须纳入“数据库”。同时，乡镇街道卫</w:t>
      </w:r>
      <w:r>
        <w:rPr>
          <w:rFonts w:ascii="仿宋" w:hAnsi="仿宋" w:eastAsia="仿宋" w:cs="仿宋"/>
          <w:spacing w:val="4"/>
          <w:sz w:val="27"/>
          <w:szCs w:val="27"/>
        </w:rPr>
        <w:t xml:space="preserve">  </w:t>
      </w:r>
      <w:r>
        <w:rPr>
          <w:rFonts w:ascii="仿宋" w:hAnsi="仿宋" w:eastAsia="仿宋" w:cs="仿宋"/>
          <w:spacing w:val="26"/>
          <w:sz w:val="27"/>
          <w:szCs w:val="27"/>
        </w:rPr>
        <w:t xml:space="preserve">生监督协管员要加强巡查工作，提供存在职业病危害用人单位线 </w:t>
      </w:r>
      <w:r>
        <w:rPr>
          <w:rFonts w:ascii="仿宋" w:hAnsi="仿宋" w:eastAsia="仿宋" w:cs="仿宋"/>
          <w:spacing w:val="6"/>
          <w:sz w:val="27"/>
          <w:szCs w:val="27"/>
        </w:rPr>
        <w:t>索，对“数据库”进行补充完善。地市级卫生健康行政部门、疾控主</w:t>
      </w:r>
      <w:r>
        <w:rPr>
          <w:rFonts w:ascii="仿宋" w:hAnsi="仿宋" w:eastAsia="仿宋" w:cs="仿宋"/>
          <w:spacing w:val="8"/>
          <w:sz w:val="27"/>
          <w:szCs w:val="27"/>
        </w:rPr>
        <w:t xml:space="preserve">  </w:t>
      </w:r>
      <w:r>
        <w:rPr>
          <w:rFonts w:ascii="仿宋" w:hAnsi="仿宋" w:eastAsia="仿宋" w:cs="仿宋"/>
          <w:spacing w:val="17"/>
          <w:sz w:val="27"/>
          <w:szCs w:val="27"/>
        </w:rPr>
        <w:t>管部门每季度要将补充确认后的“数据库”</w:t>
      </w:r>
      <w:r>
        <w:rPr>
          <w:rFonts w:ascii="仿宋" w:hAnsi="仿宋" w:eastAsia="仿宋" w:cs="仿宋"/>
          <w:spacing w:val="16"/>
          <w:sz w:val="27"/>
          <w:szCs w:val="27"/>
        </w:rPr>
        <w:t>上报省级卫生健康行政</w:t>
      </w:r>
    </w:p>
    <w:p>
      <w:pPr>
        <w:spacing w:line="221" w:lineRule="auto"/>
        <w:ind w:left="135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"/>
          <w:sz w:val="27"/>
          <w:szCs w:val="27"/>
        </w:rPr>
        <w:t>部门、疾控主管部门。</w:t>
      </w:r>
    </w:p>
    <w:p>
      <w:pPr>
        <w:rPr>
          <w:rFonts w:ascii="Arial"/>
          <w:sz w:val="21"/>
        </w:rPr>
      </w:pPr>
    </w:p>
    <w:p>
      <w:pPr>
        <w:spacing w:before="87" w:line="224" w:lineRule="auto"/>
        <w:ind w:left="758"/>
        <w:rPr>
          <w:rFonts w:ascii="楷体" w:hAnsi="楷体" w:eastAsia="楷体" w:cs="楷体"/>
          <w:sz w:val="27"/>
          <w:szCs w:val="27"/>
        </w:rPr>
      </w:pPr>
      <w:r>
        <w:rPr>
          <w:rFonts w:ascii="楷体" w:hAnsi="楷体" w:eastAsia="楷体" w:cs="楷体"/>
          <w:b/>
          <w:bCs/>
          <w:spacing w:val="13"/>
          <w:sz w:val="27"/>
          <w:szCs w:val="27"/>
        </w:rPr>
        <w:t>(二)开展职业病危害项目申报告知动员。</w:t>
      </w:r>
    </w:p>
    <w:p>
      <w:pPr>
        <w:spacing w:before="207" w:line="383" w:lineRule="auto"/>
        <w:ind w:left="135" w:right="243" w:firstLine="599"/>
        <w:jc w:val="both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2"/>
          <w:sz w:val="27"/>
          <w:szCs w:val="27"/>
        </w:rPr>
        <w:t>各地通过发放告知单、发布公众号信息等多种形式开展职业</w:t>
      </w:r>
      <w:r>
        <w:rPr>
          <w:rFonts w:ascii="仿宋" w:hAnsi="仿宋" w:eastAsia="仿宋" w:cs="仿宋"/>
          <w:spacing w:val="5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22"/>
          <w:sz w:val="27"/>
          <w:szCs w:val="27"/>
        </w:rPr>
        <w:t>病危害项目申报宣传动员活动，指导存在职业病危害因素的用人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22"/>
          <w:sz w:val="27"/>
          <w:szCs w:val="27"/>
        </w:rPr>
        <w:t>单位主动申报。组织开展职业病危害项目申报专题培训，重点对</w:t>
      </w:r>
    </w:p>
    <w:p>
      <w:pPr>
        <w:spacing w:before="1" w:line="220" w:lineRule="auto"/>
        <w:ind w:left="13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1"/>
          <w:sz w:val="27"/>
          <w:szCs w:val="27"/>
        </w:rPr>
        <w:t>申报程序、企业行业类型、劳动者人数和职业病危害因素辨识等内</w:t>
      </w:r>
    </w:p>
    <w:p>
      <w:pPr>
        <w:spacing w:line="220" w:lineRule="auto"/>
        <w:rPr>
          <w:rFonts w:ascii="仿宋" w:hAnsi="仿宋" w:eastAsia="仿宋" w:cs="仿宋"/>
          <w:sz w:val="27"/>
          <w:szCs w:val="27"/>
        </w:rPr>
        <w:sectPr>
          <w:footerReference r:id="rId13" w:type="default"/>
          <w:pgSz w:w="11920" w:h="16830"/>
          <w:pgMar w:top="1430" w:right="1788" w:bottom="2029" w:left="1555" w:header="0" w:footer="1761" w:gutter="0"/>
        </w:sect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91" w:line="579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position w:val="22"/>
          <w:sz w:val="28"/>
          <w:szCs w:val="28"/>
        </w:rPr>
        <w:t>容进行讲解，使用人单位掌握职业病危害项目申报的程序、内容和</w:t>
      </w:r>
    </w:p>
    <w:p>
      <w:pPr>
        <w:spacing w:line="22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要求，提高职业病危害项目申报质量和信息准确性。</w:t>
      </w:r>
    </w:p>
    <w:p>
      <w:pPr>
        <w:spacing w:before="215" w:line="224" w:lineRule="auto"/>
        <w:ind w:left="59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7"/>
          <w:sz w:val="28"/>
          <w:szCs w:val="28"/>
        </w:rPr>
        <w:t>(三)开展用人单位职业病危害项目申报入户指导。</w:t>
      </w:r>
    </w:p>
    <w:p>
      <w:pPr>
        <w:spacing w:before="225" w:line="363" w:lineRule="auto"/>
        <w:ind w:right="111" w:firstLine="59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1"/>
          <w:sz w:val="28"/>
          <w:szCs w:val="28"/>
        </w:rPr>
        <w:t xml:space="preserve">地方各级卫生健康行政部门、疾控主管部门根据确定的辖区 </w:t>
      </w:r>
      <w:r>
        <w:rPr>
          <w:rFonts w:ascii="仿宋" w:hAnsi="仿宋" w:eastAsia="仿宋" w:cs="仿宋"/>
          <w:spacing w:val="-4"/>
          <w:sz w:val="28"/>
          <w:szCs w:val="28"/>
        </w:rPr>
        <w:t>内“数据库”,组织协调职业卫生技术支撑机构、卫生监督机构指导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未申报用人单位进行职业病危害项目申报。各级疾控中心、职业 病防治院所等职业病防治技术支撑机构要在开展职业病危害专项 </w:t>
      </w:r>
      <w:r>
        <w:rPr>
          <w:rFonts w:ascii="仿宋" w:hAnsi="仿宋" w:eastAsia="仿宋" w:cs="仿宋"/>
          <w:spacing w:val="6"/>
          <w:sz w:val="28"/>
          <w:szCs w:val="28"/>
        </w:rPr>
        <w:t>治理、工作场所职业病危害因素监测、中小微企业职业</w:t>
      </w:r>
      <w:r>
        <w:rPr>
          <w:rFonts w:ascii="仿宋" w:hAnsi="仿宋" w:eastAsia="仿宋" w:cs="仿宋"/>
          <w:spacing w:val="5"/>
          <w:sz w:val="28"/>
          <w:szCs w:val="28"/>
        </w:rPr>
        <w:t>健康帮扶、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职业病防护设施“三同时”管理等工作时，</w:t>
      </w:r>
      <w:r>
        <w:rPr>
          <w:rFonts w:ascii="仿宋" w:hAnsi="仿宋" w:eastAsia="仿宋" w:cs="仿宋"/>
          <w:spacing w:val="1"/>
          <w:sz w:val="28"/>
          <w:szCs w:val="28"/>
        </w:rPr>
        <w:t>重点加强对应报未报用 人单位的指导力度，在为用人单位提供职业健康服务时，要对其职</w:t>
      </w:r>
      <w:r>
        <w:rPr>
          <w:rFonts w:ascii="仿宋" w:hAnsi="仿宋" w:eastAsia="仿宋" w:cs="仿宋"/>
          <w:spacing w:val="8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业病危害项目申报进行指导。地方各级疾控主管部门在组织开展 </w:t>
      </w:r>
      <w:r>
        <w:rPr>
          <w:rFonts w:ascii="仿宋" w:hAnsi="仿宋" w:eastAsia="仿宋" w:cs="仿宋"/>
          <w:spacing w:val="-7"/>
          <w:sz w:val="28"/>
          <w:szCs w:val="28"/>
        </w:rPr>
        <w:t>职业卫生分类监督执法、“双随机”检查等工作时，要对用人单位申</w:t>
      </w:r>
    </w:p>
    <w:p>
      <w:pPr>
        <w:spacing w:line="22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报信息进行核对，并指导用人单位完善申报信息，提高准确性。</w:t>
      </w:r>
    </w:p>
    <w:p>
      <w:pPr>
        <w:spacing w:before="255" w:line="223" w:lineRule="auto"/>
        <w:ind w:left="59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8"/>
          <w:sz w:val="28"/>
          <w:szCs w:val="28"/>
        </w:rPr>
        <w:t>(四)开展职业病危害项目申报工作分析调研。</w:t>
      </w:r>
    </w:p>
    <w:p>
      <w:pPr>
        <w:spacing w:before="219" w:line="363" w:lineRule="auto"/>
        <w:ind w:right="82" w:firstLine="59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7"/>
          <w:sz w:val="28"/>
          <w:szCs w:val="28"/>
        </w:rPr>
        <w:t>地方各级卫生健康行政部门要加强对申报工作情况的分析，</w:t>
      </w:r>
      <w:r>
        <w:rPr>
          <w:rFonts w:ascii="仿宋" w:hAnsi="仿宋" w:eastAsia="仿宋" w:cs="仿宋"/>
          <w:spacing w:val="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2"/>
          <w:sz w:val="28"/>
          <w:szCs w:val="28"/>
        </w:rPr>
        <w:t xml:space="preserve">及时了解进展并指导解决工作中遇到的问题和困难。地方各级疾 控主管部门对于存在职业病危害因素但未申报的用人单位，要进 </w:t>
      </w:r>
      <w:r>
        <w:rPr>
          <w:rFonts w:ascii="仿宋" w:hAnsi="仿宋" w:eastAsia="仿宋" w:cs="仿宋"/>
          <w:spacing w:val="11"/>
          <w:sz w:val="28"/>
          <w:szCs w:val="28"/>
        </w:rPr>
        <w:t>一步加强法规宣讲和帮扶指导，推动其落实职业病危害项目申报</w:t>
      </w:r>
      <w:r>
        <w:rPr>
          <w:rFonts w:ascii="仿宋" w:hAnsi="仿宋" w:eastAsia="仿宋" w:cs="仿宋"/>
          <w:spacing w:val="8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12"/>
          <w:sz w:val="28"/>
          <w:szCs w:val="28"/>
        </w:rPr>
        <w:t>法定责任。省级卫生健康行政部门、疾控主管部门每年至少联合 开展一次申报扩面行动工作情况调研，重点对职</w:t>
      </w:r>
      <w:r>
        <w:rPr>
          <w:rFonts w:ascii="仿宋" w:hAnsi="仿宋" w:eastAsia="仿宋" w:cs="仿宋"/>
          <w:spacing w:val="11"/>
          <w:sz w:val="28"/>
          <w:szCs w:val="28"/>
        </w:rPr>
        <w:t>业病危害严重领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3"/>
          <w:sz w:val="28"/>
          <w:szCs w:val="28"/>
        </w:rPr>
        <w:t>域用人单位是否完成申报，申报的行业类别、规模、职业病危害因</w:t>
      </w:r>
    </w:p>
    <w:p>
      <w:pPr>
        <w:spacing w:before="1" w:line="22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素等信息进行调研，完善工作措施。</w:t>
      </w:r>
    </w:p>
    <w:p>
      <w:pPr>
        <w:spacing w:line="220" w:lineRule="auto"/>
        <w:rPr>
          <w:rFonts w:ascii="仿宋" w:hAnsi="仿宋" w:eastAsia="仿宋" w:cs="仿宋"/>
          <w:sz w:val="28"/>
          <w:szCs w:val="28"/>
        </w:rPr>
        <w:sectPr>
          <w:footerReference r:id="rId14" w:type="default"/>
          <w:pgSz w:w="11920" w:h="16830"/>
          <w:pgMar w:top="1430" w:right="1788" w:bottom="2034" w:left="1729" w:header="0" w:footer="1758" w:gutter="0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91" w:line="222" w:lineRule="auto"/>
        <w:ind w:left="734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4"/>
          <w:sz w:val="28"/>
          <w:szCs w:val="28"/>
        </w:rPr>
        <w:t>三、工作要求</w:t>
      </w:r>
    </w:p>
    <w:p>
      <w:pPr>
        <w:spacing w:before="198" w:line="220" w:lineRule="auto"/>
        <w:ind w:left="73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2"/>
          <w:sz w:val="28"/>
          <w:szCs w:val="28"/>
        </w:rPr>
        <w:t>(一)提高重视程度，加强组织领导。</w:t>
      </w:r>
    </w:p>
    <w:p>
      <w:pPr>
        <w:spacing w:before="223" w:line="369" w:lineRule="auto"/>
        <w:ind w:left="139" w:right="238" w:firstLine="59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2"/>
          <w:sz w:val="28"/>
          <w:szCs w:val="28"/>
        </w:rPr>
        <w:t>各地要充分认识职业病危害项目申报在职业病防治工作中的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重要作用，积极发挥职业病防治工作联席会议机制作用，强化组织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3"/>
          <w:sz w:val="28"/>
          <w:szCs w:val="28"/>
        </w:rPr>
        <w:t>领导和部门协同，压实成员单位的行业管理贵</w:t>
      </w:r>
      <w:r>
        <w:rPr>
          <w:rFonts w:ascii="仿宋" w:hAnsi="仿宋" w:eastAsia="仿宋" w:cs="仿宋"/>
          <w:spacing w:val="2"/>
          <w:sz w:val="28"/>
          <w:szCs w:val="28"/>
        </w:rPr>
        <w:t>任，共同指导用人单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3"/>
          <w:sz w:val="28"/>
          <w:szCs w:val="28"/>
        </w:rPr>
        <w:t>位进行职业病危害项目申报。要结合本地区实际情况，细化</w:t>
      </w:r>
      <w:r>
        <w:rPr>
          <w:rFonts w:ascii="仿宋" w:hAnsi="仿宋" w:eastAsia="仿宋" w:cs="仿宋"/>
          <w:spacing w:val="12"/>
          <w:sz w:val="28"/>
          <w:szCs w:val="28"/>
        </w:rPr>
        <w:t>工作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措施，落实责任，调动各级疾控中心、职业病防治院所、卫生监督机</w:t>
      </w:r>
    </w:p>
    <w:p>
      <w:pPr>
        <w:spacing w:line="220" w:lineRule="auto"/>
        <w:ind w:left="1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构等力量，形成工作合力。</w:t>
      </w:r>
    </w:p>
    <w:p>
      <w:pPr>
        <w:spacing w:before="200" w:line="220" w:lineRule="auto"/>
        <w:ind w:left="73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2"/>
          <w:sz w:val="28"/>
          <w:szCs w:val="28"/>
        </w:rPr>
        <w:t>(二)逐步递次推进，加强统筹实施。</w:t>
      </w:r>
    </w:p>
    <w:p>
      <w:pPr>
        <w:spacing w:before="204" w:line="369" w:lineRule="auto"/>
        <w:ind w:left="139" w:right="203" w:firstLine="59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8"/>
          <w:szCs w:val="28"/>
        </w:rPr>
        <w:t>各地要按照“突出危害严重，兼顾危害一般，统筹大中型和小</w:t>
      </w:r>
      <w:r>
        <w:rPr>
          <w:rFonts w:ascii="仿宋" w:hAnsi="仿宋" w:eastAsia="仿宋" w:cs="仿宋"/>
          <w:spacing w:val="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微型用人单位”的原则，除职业病危害严重行业领域外，可根据本</w:t>
      </w:r>
      <w:r>
        <w:rPr>
          <w:rFonts w:ascii="仿宋" w:hAnsi="仿宋" w:eastAsia="仿宋" w:cs="仿宋"/>
          <w:spacing w:val="1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3"/>
          <w:sz w:val="28"/>
          <w:szCs w:val="28"/>
        </w:rPr>
        <w:t>地区行业特点，增加申报扩面行业领域，逐步推动所有行业领域和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3"/>
          <w:sz w:val="28"/>
          <w:szCs w:val="28"/>
        </w:rPr>
        <w:t>规模类型用人单位职业病危害项目应报尽报。注重发挥中央企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业、国有企业、大中型企业示范带动作用，集团总部要加强对下属</w:t>
      </w:r>
    </w:p>
    <w:p>
      <w:pPr>
        <w:spacing w:before="1" w:line="220" w:lineRule="auto"/>
        <w:ind w:left="1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>单位的职业健康管理，实现职业病危害项目</w:t>
      </w:r>
      <w:r>
        <w:rPr>
          <w:rFonts w:ascii="仿宋" w:hAnsi="仿宋" w:eastAsia="仿宋" w:cs="仿宋"/>
          <w:spacing w:val="4"/>
          <w:sz w:val="28"/>
          <w:szCs w:val="28"/>
        </w:rPr>
        <w:t>申报全覆盖。</w:t>
      </w:r>
    </w:p>
    <w:p>
      <w:pPr>
        <w:spacing w:before="227" w:line="241" w:lineRule="auto"/>
        <w:ind w:left="730"/>
        <w:rPr>
          <w:rFonts w:ascii="STXingkai" w:hAnsi="STXingkai" w:eastAsia="STXingkai" w:cs="STXingkai"/>
          <w:sz w:val="28"/>
          <w:szCs w:val="28"/>
        </w:rPr>
      </w:pPr>
      <w:r>
        <w:rPr>
          <w:rFonts w:ascii="STXingkai" w:hAnsi="STXingkai" w:eastAsia="STXingkai" w:cs="STXingkai"/>
          <w:spacing w:val="4"/>
          <w:sz w:val="28"/>
          <w:szCs w:val="28"/>
        </w:rPr>
        <w:t>(三)加强宣传教育，营造良好环境。</w:t>
      </w:r>
    </w:p>
    <w:p>
      <w:pPr>
        <w:spacing w:before="165" w:line="363" w:lineRule="auto"/>
        <w:ind w:right="209" w:firstLine="7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4"/>
          <w:sz w:val="28"/>
          <w:szCs w:val="28"/>
        </w:rPr>
        <w:t>各地要加强对用人单位职业健康培训工作的指导，</w:t>
      </w:r>
      <w:r>
        <w:rPr>
          <w:rFonts w:ascii="仿宋" w:hAnsi="仿宋" w:eastAsia="仿宋" w:cs="仿宋"/>
          <w:spacing w:val="13"/>
          <w:sz w:val="28"/>
          <w:szCs w:val="28"/>
        </w:rPr>
        <w:t>加大宣传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引导力度，充分利用网站、电视、移动终端等各类媒体平台和《职业</w:t>
      </w:r>
      <w:r>
        <w:rPr>
          <w:rFonts w:ascii="仿宋" w:hAnsi="仿宋" w:eastAsia="仿宋" w:cs="仿宋"/>
          <w:spacing w:val="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病防治法》宣传周、“安康杯”竞赛、健康企业建设、职业健康知识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“五进”活动等各种途径，强化动员，教育引导用人单位落实法定责</w:t>
      </w:r>
    </w:p>
    <w:p>
      <w:pPr>
        <w:spacing w:line="222" w:lineRule="auto"/>
        <w:ind w:left="1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任，开展职业病危害项目申报。</w:t>
      </w:r>
    </w:p>
    <w:p>
      <w:pPr>
        <w:spacing w:line="222" w:lineRule="auto"/>
        <w:rPr>
          <w:rFonts w:ascii="仿宋" w:hAnsi="仿宋" w:eastAsia="仿宋" w:cs="仿宋"/>
          <w:sz w:val="28"/>
          <w:szCs w:val="28"/>
        </w:rPr>
        <w:sectPr>
          <w:footerReference r:id="rId15" w:type="default"/>
          <w:pgSz w:w="11920" w:h="16830"/>
          <w:pgMar w:top="1430" w:right="1788" w:bottom="2004" w:left="1550" w:header="0" w:footer="1730" w:gutter="0"/>
        </w:sect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91" w:line="224" w:lineRule="auto"/>
        <w:ind w:left="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19"/>
          <w:sz w:val="28"/>
          <w:szCs w:val="28"/>
        </w:rPr>
        <w:t>附件2</w:t>
      </w:r>
    </w:p>
    <w:p>
      <w:pPr>
        <w:spacing w:line="345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pStyle w:val="2"/>
        <w:spacing w:before="123" w:line="710" w:lineRule="exact"/>
        <w:ind w:left="1625"/>
        <w:rPr>
          <w:sz w:val="38"/>
          <w:szCs w:val="38"/>
        </w:rPr>
      </w:pPr>
      <w:r>
        <w:rPr>
          <w:b/>
          <w:bCs/>
          <w:spacing w:val="2"/>
          <w:position w:val="24"/>
          <w:sz w:val="38"/>
          <w:szCs w:val="38"/>
        </w:rPr>
        <w:t>中小微企业职业健康帮扶行动</w:t>
      </w:r>
    </w:p>
    <w:p>
      <w:pPr>
        <w:pStyle w:val="2"/>
        <w:spacing w:line="219" w:lineRule="auto"/>
        <w:ind w:left="1975"/>
        <w:rPr>
          <w:sz w:val="38"/>
          <w:szCs w:val="38"/>
        </w:rPr>
      </w:pPr>
      <w:r>
        <w:rPr>
          <w:b/>
          <w:bCs/>
          <w:spacing w:val="4"/>
          <w:sz w:val="38"/>
          <w:szCs w:val="38"/>
        </w:rPr>
        <w:t>(2024—2025年)工作方案</w:t>
      </w:r>
    </w:p>
    <w:p>
      <w:pPr>
        <w:spacing w:line="349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spacing w:before="91" w:line="376" w:lineRule="auto"/>
        <w:ind w:right="191" w:firstLine="59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1"/>
          <w:sz w:val="28"/>
          <w:szCs w:val="28"/>
        </w:rPr>
        <w:t>中小微企业在经济社会发展中发挥着重要作用，对于推动高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3"/>
          <w:sz w:val="28"/>
          <w:szCs w:val="28"/>
        </w:rPr>
        <w:t>质量发展、促进就业等方面具有重要意义。为贯彻落实《职业病防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1"/>
          <w:sz w:val="28"/>
          <w:szCs w:val="28"/>
        </w:rPr>
        <w:t>治法》和《国家职业病防治规划(2021-2025年)》,</w:t>
      </w:r>
      <w:r>
        <w:rPr>
          <w:rFonts w:ascii="仿宋" w:hAnsi="仿宋" w:eastAsia="仿宋" w:cs="仿宋"/>
          <w:spacing w:val="10"/>
          <w:sz w:val="28"/>
          <w:szCs w:val="28"/>
        </w:rPr>
        <w:t>推动中小微企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3"/>
          <w:sz w:val="28"/>
          <w:szCs w:val="28"/>
        </w:rPr>
        <w:t>业规范职业健康管理，提高中小微企业职业病防治水平，依法履行</w:t>
      </w:r>
    </w:p>
    <w:p>
      <w:pPr>
        <w:spacing w:line="22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职业病防治责任，保障劳动者职业健康权益</w:t>
      </w:r>
      <w:r>
        <w:rPr>
          <w:rFonts w:ascii="仿宋" w:hAnsi="仿宋" w:eastAsia="仿宋" w:cs="仿宋"/>
          <w:sz w:val="28"/>
          <w:szCs w:val="28"/>
        </w:rPr>
        <w:t>，特制定本工作方案。</w:t>
      </w:r>
    </w:p>
    <w:p>
      <w:pPr>
        <w:spacing w:before="246" w:line="222" w:lineRule="auto"/>
        <w:ind w:left="594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0"/>
          <w:sz w:val="28"/>
          <w:szCs w:val="28"/>
        </w:rPr>
        <w:t>一、工作目标</w:t>
      </w:r>
    </w:p>
    <w:p>
      <w:pPr>
        <w:pStyle w:val="2"/>
        <w:spacing w:before="228" w:line="376" w:lineRule="auto"/>
        <w:ind w:right="91" w:firstLine="590"/>
        <w:jc w:val="both"/>
        <w:rPr>
          <w:rFonts w:ascii="仿宋" w:hAnsi="仿宋" w:eastAsia="仿宋" w:cs="仿宋"/>
          <w:sz w:val="28"/>
          <w:szCs w:val="28"/>
        </w:rPr>
      </w:pPr>
      <w:r>
        <w:rPr>
          <w:spacing w:val="12"/>
          <w:sz w:val="28"/>
          <w:szCs w:val="28"/>
        </w:rPr>
        <w:t>通过开展中小微企业职业健康帮扶，推动中小微企</w:t>
      </w:r>
      <w:r>
        <w:rPr>
          <w:spacing w:val="11"/>
          <w:sz w:val="28"/>
          <w:szCs w:val="28"/>
        </w:rPr>
        <w:t xml:space="preserve">业规范职 </w:t>
      </w:r>
      <w:r>
        <w:rPr>
          <w:rFonts w:ascii="仿宋" w:hAnsi="仿宋" w:eastAsia="仿宋" w:cs="仿宋"/>
          <w:spacing w:val="21"/>
          <w:sz w:val="28"/>
          <w:szCs w:val="28"/>
        </w:rPr>
        <w:t>业健康管理，提升劳动者的职业健康保护水平。2024年和</w:t>
      </w:r>
      <w:r>
        <w:rPr>
          <w:rFonts w:ascii="仿宋" w:hAnsi="仿宋" w:eastAsia="仿宋" w:cs="仿宋"/>
          <w:spacing w:val="20"/>
          <w:sz w:val="28"/>
          <w:szCs w:val="28"/>
        </w:rPr>
        <w:t>2025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7"/>
          <w:sz w:val="28"/>
          <w:szCs w:val="28"/>
        </w:rPr>
        <w:t>年，每年每省中小微企业帮扶数量平均每个县区</w:t>
      </w:r>
      <w:r>
        <w:rPr>
          <w:rFonts w:ascii="仿宋" w:hAnsi="仿宋" w:eastAsia="仿宋" w:cs="仿宋"/>
          <w:spacing w:val="26"/>
          <w:sz w:val="28"/>
          <w:szCs w:val="28"/>
        </w:rPr>
        <w:t>不少于20家。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3"/>
          <w:sz w:val="28"/>
          <w:szCs w:val="28"/>
        </w:rPr>
        <w:t>2025年底，帮扶企业职业病危害项目申报率、工作场所职业病危</w:t>
      </w:r>
      <w:r>
        <w:rPr>
          <w:rFonts w:ascii="仿宋" w:hAnsi="仿宋" w:eastAsia="仿宋" w:cs="仿宋"/>
          <w:spacing w:val="1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3"/>
          <w:sz w:val="28"/>
          <w:szCs w:val="28"/>
        </w:rPr>
        <w:t>害因素定期检测率、职业健康检查开展率、职业健康培训率均达</w:t>
      </w:r>
    </w:p>
    <w:p>
      <w:pPr>
        <w:pStyle w:val="2"/>
        <w:spacing w:line="220" w:lineRule="auto"/>
        <w:rPr>
          <w:sz w:val="28"/>
          <w:szCs w:val="28"/>
        </w:rPr>
      </w:pPr>
      <w:r>
        <w:rPr>
          <w:spacing w:val="31"/>
          <w:sz w:val="28"/>
          <w:szCs w:val="28"/>
        </w:rPr>
        <w:t>到100%。</w:t>
      </w:r>
    </w:p>
    <w:p>
      <w:pPr>
        <w:spacing w:before="239" w:line="221" w:lineRule="auto"/>
        <w:ind w:left="594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3"/>
          <w:sz w:val="28"/>
          <w:szCs w:val="28"/>
        </w:rPr>
        <w:t>二、工作任务</w:t>
      </w:r>
    </w:p>
    <w:p>
      <w:pPr>
        <w:spacing w:before="228" w:line="225" w:lineRule="auto"/>
        <w:ind w:left="59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2"/>
          <w:sz w:val="28"/>
          <w:szCs w:val="28"/>
        </w:rPr>
        <w:t>(一)确定帮扶对象。</w:t>
      </w:r>
    </w:p>
    <w:p>
      <w:pPr>
        <w:spacing w:before="207" w:line="593" w:lineRule="exact"/>
        <w:ind w:left="59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position w:val="23"/>
          <w:sz w:val="28"/>
          <w:szCs w:val="28"/>
        </w:rPr>
        <w:t>以矿山、建材、冶金、化工等行业领域中小微企业以及职业病</w:t>
      </w:r>
    </w:p>
    <w:p>
      <w:pPr>
        <w:spacing w:line="222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8"/>
          <w:szCs w:val="28"/>
        </w:rPr>
        <w:t>危害严重、有职业病或疑似职业病病例、纳入职业病危害专项治理</w:t>
      </w:r>
    </w:p>
    <w:p>
      <w:pPr>
        <w:spacing w:line="222" w:lineRule="auto"/>
        <w:rPr>
          <w:rFonts w:ascii="仿宋" w:hAnsi="仿宋" w:eastAsia="仿宋" w:cs="仿宋"/>
          <w:sz w:val="28"/>
          <w:szCs w:val="28"/>
        </w:rPr>
        <w:sectPr>
          <w:footerReference r:id="rId16" w:type="default"/>
          <w:pgSz w:w="11920" w:h="16830"/>
          <w:pgMar w:top="1430" w:right="1788" w:bottom="2021" w:left="1729" w:header="0" w:footer="1750" w:gutter="0"/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91" w:line="370" w:lineRule="auto"/>
        <w:ind w:right="247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0"/>
          <w:sz w:val="28"/>
          <w:szCs w:val="28"/>
        </w:rPr>
        <w:t>的中小微企业为重点帮扶对象，各地可根据实际情况扩大帮扶对</w:t>
      </w:r>
      <w:r>
        <w:rPr>
          <w:rFonts w:ascii="仿宋" w:hAnsi="仿宋" w:eastAsia="仿宋" w:cs="仿宋"/>
          <w:spacing w:val="1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2"/>
          <w:sz w:val="28"/>
          <w:szCs w:val="28"/>
        </w:rPr>
        <w:t>象范围，建立中小微企业职业健康帮扶名单。中小微企业根据国</w:t>
      </w:r>
    </w:p>
    <w:p>
      <w:pPr>
        <w:spacing w:line="221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家统计局印发的《统计上大中小微型企业划分办法(2017)》确定。</w:t>
      </w:r>
    </w:p>
    <w:p>
      <w:pPr>
        <w:spacing w:before="224" w:line="225" w:lineRule="auto"/>
        <w:ind w:left="589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2"/>
          <w:sz w:val="28"/>
          <w:szCs w:val="28"/>
        </w:rPr>
        <w:t>(二)建立帮扶团队。</w:t>
      </w:r>
    </w:p>
    <w:p>
      <w:pPr>
        <w:spacing w:before="220" w:line="364" w:lineRule="auto"/>
        <w:ind w:right="217" w:firstLine="58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3"/>
          <w:sz w:val="28"/>
          <w:szCs w:val="28"/>
        </w:rPr>
        <w:t>地方各级卫生健康行政部门、疾控主管部门要以各级疾控中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心、职业病防治院所、卫生监督机构为主，组建帮扶专家团队，鼓励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3"/>
          <w:sz w:val="28"/>
          <w:szCs w:val="28"/>
        </w:rPr>
        <w:t>第三方职业卫生技术服务机构积极参与，强化中小微企业职业健</w:t>
      </w:r>
      <w:r>
        <w:rPr>
          <w:rFonts w:ascii="仿宋" w:hAnsi="仿宋" w:eastAsia="仿宋" w:cs="仿宋"/>
          <w:spacing w:val="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3"/>
          <w:sz w:val="28"/>
          <w:szCs w:val="28"/>
        </w:rPr>
        <w:t>康帮扶技术支持力量。帮扶团队开展帮扶企业职业病危害现状摸</w:t>
      </w:r>
    </w:p>
    <w:p>
      <w:pPr>
        <w:spacing w:line="221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7"/>
          <w:sz w:val="28"/>
          <w:szCs w:val="28"/>
        </w:rPr>
        <w:t>底，因企施策，提供专业、科学、具体、有效的帮扶指导。</w:t>
      </w:r>
    </w:p>
    <w:p>
      <w:pPr>
        <w:spacing w:before="227" w:line="223" w:lineRule="auto"/>
        <w:ind w:left="59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b/>
          <w:bCs/>
          <w:spacing w:val="-13"/>
          <w:sz w:val="28"/>
          <w:szCs w:val="28"/>
        </w:rPr>
        <w:t>(三)重点开展“五个一”帮扶工作。</w:t>
      </w:r>
    </w:p>
    <w:p>
      <w:pPr>
        <w:spacing w:before="215" w:line="363" w:lineRule="auto"/>
        <w:ind w:right="142" w:firstLine="589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2"/>
          <w:sz w:val="28"/>
          <w:szCs w:val="28"/>
        </w:rPr>
        <w:t>1.开展一次职业病危害因素辨识。指导企业对所有工作场所</w:t>
      </w:r>
      <w:r>
        <w:rPr>
          <w:rFonts w:ascii="仿宋" w:hAnsi="仿宋" w:eastAsia="仿宋" w:cs="仿宋"/>
          <w:spacing w:val="13"/>
          <w:sz w:val="28"/>
          <w:szCs w:val="28"/>
        </w:rPr>
        <w:t xml:space="preserve"> 进行职业病危害因素辨识。根据辨识结果和企业需求，指导企业</w:t>
      </w:r>
      <w:r>
        <w:rPr>
          <w:rFonts w:ascii="仿宋" w:hAnsi="仿宋" w:eastAsia="仿宋" w:cs="仿宋"/>
          <w:spacing w:val="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开展职业病危害项目申报、职业健康监护、职业病防</w:t>
      </w:r>
      <w:r>
        <w:rPr>
          <w:rFonts w:ascii="仿宋" w:hAnsi="仿宋" w:eastAsia="仿宋" w:cs="仿宋"/>
          <w:spacing w:val="5"/>
          <w:sz w:val="28"/>
          <w:szCs w:val="28"/>
        </w:rPr>
        <w:t>护用品配发、</w:t>
      </w:r>
    </w:p>
    <w:p>
      <w:pPr>
        <w:spacing w:line="22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0"/>
          <w:sz w:val="28"/>
          <w:szCs w:val="28"/>
        </w:rPr>
        <w:t>职业病防护设施及职业卫生档案管理等工作。</w:t>
      </w:r>
    </w:p>
    <w:p>
      <w:pPr>
        <w:spacing w:before="231" w:line="369" w:lineRule="auto"/>
        <w:ind w:right="211" w:firstLine="589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1"/>
          <w:sz w:val="28"/>
          <w:szCs w:val="28"/>
        </w:rPr>
        <w:t>2.建立一套实用的职业健康管理制度。帮助企业梳理现有职</w:t>
      </w:r>
      <w:r>
        <w:rPr>
          <w:rFonts w:ascii="仿宋" w:hAnsi="仿宋" w:eastAsia="仿宋" w:cs="仿宋"/>
          <w:spacing w:val="1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业健康法律、法规、规章、标准等信息，根据企业现</w:t>
      </w:r>
      <w:r>
        <w:rPr>
          <w:rFonts w:ascii="仿宋" w:hAnsi="仿宋" w:eastAsia="仿宋" w:cs="仿宋"/>
          <w:spacing w:val="-7"/>
          <w:sz w:val="28"/>
          <w:szCs w:val="28"/>
        </w:rPr>
        <w:t>状，建立一套符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3"/>
          <w:sz w:val="28"/>
          <w:szCs w:val="28"/>
        </w:rPr>
        <w:t>合法律法规要求和企业实际需求、可操作的职业健康管理制度和</w:t>
      </w:r>
      <w:r>
        <w:rPr>
          <w:rFonts w:ascii="仿宋" w:hAnsi="仿宋" w:eastAsia="仿宋" w:cs="仿宋"/>
          <w:spacing w:val="1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3"/>
          <w:sz w:val="28"/>
          <w:szCs w:val="28"/>
        </w:rPr>
        <w:t>应急预案，指导企业开展职业卫生管理自查，依法履行职业病防治</w:t>
      </w:r>
    </w:p>
    <w:p>
      <w:pPr>
        <w:spacing w:before="1" w:line="222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主体责任。</w:t>
      </w:r>
    </w:p>
    <w:p>
      <w:pPr>
        <w:spacing w:before="210" w:line="363" w:lineRule="auto"/>
        <w:ind w:right="193" w:firstLine="589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3"/>
          <w:sz w:val="28"/>
          <w:szCs w:val="28"/>
        </w:rPr>
        <w:t>3.开展一次现场职业病危害告知和防护用品配置指导。根据</w:t>
      </w:r>
      <w:r>
        <w:rPr>
          <w:rFonts w:ascii="仿宋" w:hAnsi="仿宋" w:eastAsia="仿宋" w:cs="仿宋"/>
          <w:spacing w:val="1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4"/>
          <w:sz w:val="28"/>
          <w:szCs w:val="28"/>
        </w:rPr>
        <w:t>企业存在的职业病危害因素，现场指导企业在厂区相应工作场所</w:t>
      </w:r>
    </w:p>
    <w:p>
      <w:pPr>
        <w:spacing w:before="1" w:line="221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sz w:val="28"/>
          <w:szCs w:val="28"/>
        </w:rPr>
        <w:t>醒目位置设置告知栏、张贴告知卡及警示标识，开展职业病危</w:t>
      </w:r>
      <w:r>
        <w:rPr>
          <w:rFonts w:ascii="仿宋" w:hAnsi="仿宋" w:eastAsia="仿宋" w:cs="仿宋"/>
          <w:spacing w:val="3"/>
          <w:sz w:val="28"/>
          <w:szCs w:val="28"/>
        </w:rPr>
        <w:t>害合</w:t>
      </w:r>
    </w:p>
    <w:p>
      <w:pPr>
        <w:spacing w:line="221" w:lineRule="auto"/>
        <w:rPr>
          <w:rFonts w:ascii="仿宋" w:hAnsi="仿宋" w:eastAsia="仿宋" w:cs="仿宋"/>
          <w:sz w:val="28"/>
          <w:szCs w:val="28"/>
        </w:rPr>
        <w:sectPr>
          <w:footerReference r:id="rId17" w:type="default"/>
          <w:pgSz w:w="11920" w:h="16830"/>
          <w:pgMar w:top="1430" w:right="1788" w:bottom="1996" w:left="1700" w:header="0" w:footer="1720" w:gutter="0"/>
        </w:sect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91" w:line="562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0"/>
          <w:position w:val="21"/>
          <w:sz w:val="28"/>
          <w:szCs w:val="28"/>
        </w:rPr>
        <w:t>同告知。帮助企业完善职业病防护设施设置和个人使用的职业病</w:t>
      </w:r>
    </w:p>
    <w:p>
      <w:pPr>
        <w:spacing w:line="222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防护用品配备，针对问题提出整改建议。</w:t>
      </w:r>
    </w:p>
    <w:p>
      <w:pPr>
        <w:spacing w:before="192" w:line="369" w:lineRule="auto"/>
        <w:ind w:right="132" w:firstLine="57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>4.举办一次职业健康培训。通过专家授课、网络培训等方式，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对中小微企业主要负责人、职业健康管理人员开展培训，</w:t>
      </w:r>
      <w:r>
        <w:rPr>
          <w:rFonts w:ascii="仿宋" w:hAnsi="仿宋" w:eastAsia="仿宋" w:cs="仿宋"/>
          <w:sz w:val="28"/>
          <w:szCs w:val="28"/>
        </w:rPr>
        <w:t xml:space="preserve">重点就职  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业病防治相关法律法规、职业病防治管理等内容进行讲解，提高主 </w:t>
      </w:r>
      <w:r>
        <w:rPr>
          <w:rFonts w:ascii="仿宋" w:hAnsi="仿宋" w:eastAsia="仿宋" w:cs="仿宋"/>
          <w:spacing w:val="11"/>
          <w:sz w:val="28"/>
          <w:szCs w:val="28"/>
        </w:rPr>
        <w:t>要负责人的职业病防治意识和职业健康管理</w:t>
      </w:r>
      <w:r>
        <w:rPr>
          <w:rFonts w:ascii="仿宋" w:hAnsi="仿宋" w:eastAsia="仿宋" w:cs="仿宋"/>
          <w:spacing w:val="10"/>
          <w:sz w:val="28"/>
          <w:szCs w:val="28"/>
        </w:rPr>
        <w:t xml:space="preserve">人员的管理水平。帮 </w:t>
      </w:r>
      <w:r>
        <w:rPr>
          <w:rFonts w:ascii="仿宋" w:hAnsi="仿宋" w:eastAsia="仿宋" w:cs="仿宋"/>
          <w:spacing w:val="11"/>
          <w:sz w:val="28"/>
          <w:szCs w:val="28"/>
        </w:rPr>
        <w:t>助企业组织全体劳动者开展职业健康培训，</w:t>
      </w:r>
      <w:r>
        <w:rPr>
          <w:rFonts w:ascii="仿宋" w:hAnsi="仿宋" w:eastAsia="仿宋" w:cs="仿宋"/>
          <w:spacing w:val="10"/>
          <w:sz w:val="28"/>
          <w:szCs w:val="28"/>
        </w:rPr>
        <w:t xml:space="preserve">重点对劳动者职业病 </w:t>
      </w:r>
      <w:r>
        <w:rPr>
          <w:rFonts w:ascii="仿宋" w:hAnsi="仿宋" w:eastAsia="仿宋" w:cs="仿宋"/>
          <w:spacing w:val="1"/>
          <w:sz w:val="28"/>
          <w:szCs w:val="28"/>
        </w:rPr>
        <w:t>防治相关权利与义务、职业病危害防护基础知识、个体防护用品佩</w:t>
      </w:r>
    </w:p>
    <w:p>
      <w:pPr>
        <w:spacing w:before="1" w:line="22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戴等进行讲解，提高劳动者个人防护意识和水平。</w:t>
      </w:r>
    </w:p>
    <w:p>
      <w:pPr>
        <w:spacing w:before="201" w:line="370" w:lineRule="auto"/>
        <w:ind w:right="197" w:firstLine="57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3"/>
          <w:sz w:val="28"/>
          <w:szCs w:val="28"/>
        </w:rPr>
        <w:t>5.开展一次超标岗位职业病危害治理。对于存在职业病危害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因素超标岗位的企业，针对超标岗位问题，结合企业实际，提出整</w:t>
      </w:r>
    </w:p>
    <w:p>
      <w:pPr>
        <w:spacing w:line="22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改措施建议，帮助制定整改方案，指导企业开展整改工作。</w:t>
      </w:r>
    </w:p>
    <w:p>
      <w:pPr>
        <w:spacing w:before="216" w:line="222" w:lineRule="auto"/>
        <w:ind w:left="574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2"/>
          <w:sz w:val="28"/>
          <w:szCs w:val="28"/>
        </w:rPr>
        <w:t>三、工作要求</w:t>
      </w:r>
    </w:p>
    <w:p>
      <w:pPr>
        <w:spacing w:before="218" w:line="220" w:lineRule="auto"/>
        <w:ind w:left="57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2"/>
          <w:sz w:val="28"/>
          <w:szCs w:val="28"/>
        </w:rPr>
        <w:t>(一)加强组织领导，提升服务意识。</w:t>
      </w:r>
    </w:p>
    <w:p>
      <w:pPr>
        <w:spacing w:before="228" w:line="362" w:lineRule="auto"/>
        <w:ind w:right="177" w:firstLine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1"/>
          <w:sz w:val="28"/>
          <w:szCs w:val="28"/>
        </w:rPr>
        <w:t xml:space="preserve">各地要结合本地区实际，将中小微企业职业健康帮扶与职业 </w:t>
      </w:r>
      <w:r>
        <w:rPr>
          <w:rFonts w:ascii="仿宋" w:hAnsi="仿宋" w:eastAsia="仿宋" w:cs="仿宋"/>
          <w:spacing w:val="2"/>
          <w:sz w:val="28"/>
          <w:szCs w:val="28"/>
        </w:rPr>
        <w:t>病危害专项治理、职业病及危害因素监测、重点人群职业健康素养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监测与干预、职业病危害项目申报扩面行动等工作统筹谋划、</w:t>
      </w:r>
      <w:r>
        <w:rPr>
          <w:rFonts w:ascii="仿宋" w:hAnsi="仿宋" w:eastAsia="仿宋" w:cs="仿宋"/>
          <w:spacing w:val="1"/>
          <w:sz w:val="28"/>
          <w:szCs w:val="28"/>
        </w:rPr>
        <w:t>协同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4"/>
          <w:sz w:val="28"/>
          <w:szCs w:val="28"/>
        </w:rPr>
        <w:t>推进。要增强主动服务的意识，针对中小微</w:t>
      </w:r>
      <w:r>
        <w:rPr>
          <w:rFonts w:ascii="仿宋" w:hAnsi="仿宋" w:eastAsia="仿宋" w:cs="仿宋"/>
          <w:spacing w:val="13"/>
          <w:sz w:val="28"/>
          <w:szCs w:val="28"/>
        </w:rPr>
        <w:t>企业在职业病防治中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的“急难愁盼”问题，重点研究，优先予以帮扶解决，切实推动中小</w:t>
      </w:r>
    </w:p>
    <w:p>
      <w:pPr>
        <w:spacing w:before="1" w:line="22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8"/>
          <w:szCs w:val="28"/>
        </w:rPr>
        <w:t>微企业规范职业健康管理，保障劳动者职业健康权益。</w:t>
      </w:r>
    </w:p>
    <w:p>
      <w:pPr>
        <w:spacing w:before="238" w:line="220" w:lineRule="auto"/>
        <w:ind w:left="57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2"/>
          <w:sz w:val="28"/>
          <w:szCs w:val="28"/>
        </w:rPr>
        <w:t>(二)加强协同联动，形成工作合力。</w:t>
      </w:r>
    </w:p>
    <w:p>
      <w:pPr>
        <w:spacing w:before="243" w:line="221" w:lineRule="auto"/>
        <w:ind w:left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地方各级卫生健康行政部门、疾控主管部门要加强协同配合，</w:t>
      </w:r>
    </w:p>
    <w:p>
      <w:pPr>
        <w:spacing w:line="221" w:lineRule="auto"/>
        <w:rPr>
          <w:rFonts w:ascii="仿宋" w:hAnsi="仿宋" w:eastAsia="仿宋" w:cs="仿宋"/>
          <w:sz w:val="28"/>
          <w:szCs w:val="28"/>
        </w:rPr>
        <w:sectPr>
          <w:footerReference r:id="rId18" w:type="default"/>
          <w:pgSz w:w="11920" w:h="16830"/>
          <w:pgMar w:top="1430" w:right="1788" w:bottom="2008" w:left="1729" w:header="0" w:footer="1771" w:gutter="0"/>
        </w:sect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91" w:line="363" w:lineRule="auto"/>
        <w:ind w:right="233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2"/>
          <w:sz w:val="28"/>
          <w:szCs w:val="28"/>
        </w:rPr>
        <w:t>建立定期沟通、信息共享和协作联动工作机</w:t>
      </w:r>
      <w:r>
        <w:rPr>
          <w:rFonts w:ascii="仿宋" w:hAnsi="仿宋" w:eastAsia="仿宋" w:cs="仿宋"/>
          <w:spacing w:val="11"/>
          <w:sz w:val="28"/>
          <w:szCs w:val="28"/>
        </w:rPr>
        <w:t>制。地方各级卫生健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康行政部门要加强与发展改革、工业和信息化</w:t>
      </w:r>
      <w:r>
        <w:rPr>
          <w:rFonts w:ascii="仿宋" w:hAnsi="仿宋" w:eastAsia="仿宋" w:cs="仿宋"/>
          <w:spacing w:val="1"/>
          <w:sz w:val="28"/>
          <w:szCs w:val="28"/>
        </w:rPr>
        <w:t>、财政、人力资源社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会保障、税务、工会等部门的协作，用好现有中小微企业的各项帮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扶政策，在保护劳动者健康的同时，助力中小微企业的</w:t>
      </w:r>
      <w:r>
        <w:rPr>
          <w:rFonts w:ascii="仿宋" w:hAnsi="仿宋" w:eastAsia="仿宋" w:cs="仿宋"/>
          <w:spacing w:val="1"/>
          <w:sz w:val="28"/>
          <w:szCs w:val="28"/>
        </w:rPr>
        <w:t>发展，切实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2"/>
          <w:sz w:val="28"/>
          <w:szCs w:val="28"/>
        </w:rPr>
        <w:t>提高中小微企业开展职业病防治的内生动力。鼓励各地区充分利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2"/>
          <w:sz w:val="28"/>
          <w:szCs w:val="28"/>
        </w:rPr>
        <w:t>用工伤预防费用、职业病防治项目等支持开</w:t>
      </w:r>
      <w:r>
        <w:rPr>
          <w:rFonts w:ascii="仿宋" w:hAnsi="仿宋" w:eastAsia="仿宋" w:cs="仿宋"/>
          <w:spacing w:val="11"/>
          <w:sz w:val="28"/>
          <w:szCs w:val="28"/>
        </w:rPr>
        <w:t>展中小微企业职业健</w:t>
      </w:r>
    </w:p>
    <w:p>
      <w:pPr>
        <w:spacing w:line="22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sz w:val="28"/>
          <w:szCs w:val="28"/>
        </w:rPr>
        <w:t>康帮扶工作。</w:t>
      </w:r>
    </w:p>
    <w:p>
      <w:pPr>
        <w:spacing w:before="256" w:line="220" w:lineRule="auto"/>
        <w:ind w:left="58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b/>
          <w:bCs/>
          <w:spacing w:val="-5"/>
          <w:sz w:val="28"/>
          <w:szCs w:val="28"/>
        </w:rPr>
        <w:t>(三)加强宣传指导，及时总结推进。</w:t>
      </w:r>
    </w:p>
    <w:p>
      <w:pPr>
        <w:pStyle w:val="2"/>
        <w:spacing w:before="232" w:line="362" w:lineRule="auto"/>
        <w:ind w:right="131" w:firstLine="589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>各地要加大宣传力度，引导中小微企业主动参与、积极配合。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要加强调研，指导解决帮扶工作中遇到的困难和问题，及时总结推</w:t>
      </w:r>
      <w:r>
        <w:rPr>
          <w:spacing w:val="5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1"/>
          <w:sz w:val="28"/>
          <w:szCs w:val="28"/>
        </w:rPr>
        <w:t>广好经验、好做法，营造有利于帮扶行动开展的良好氛围。要每年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2"/>
          <w:sz w:val="28"/>
          <w:szCs w:val="28"/>
        </w:rPr>
        <w:t>组织开展一次总结，通过问卷调查、劳动者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访谈、现场调研等多种 </w:t>
      </w:r>
      <w:r>
        <w:rPr>
          <w:rFonts w:ascii="仿宋" w:hAnsi="仿宋" w:eastAsia="仿宋" w:cs="仿宋"/>
          <w:spacing w:val="2"/>
          <w:sz w:val="28"/>
          <w:szCs w:val="28"/>
        </w:rPr>
        <w:t>形式，分析帮扶效果，不断改进完善帮扶措施，逐步构建可持</w:t>
      </w:r>
      <w:r>
        <w:rPr>
          <w:rFonts w:ascii="仿宋" w:hAnsi="仿宋" w:eastAsia="仿宋" w:cs="仿宋"/>
          <w:spacing w:val="1"/>
          <w:sz w:val="28"/>
          <w:szCs w:val="28"/>
        </w:rPr>
        <w:t>续的</w:t>
      </w:r>
    </w:p>
    <w:p>
      <w:pPr>
        <w:spacing w:before="1" w:line="221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长效帮扶机制。</w:t>
      </w:r>
    </w:p>
    <w:p>
      <w:pPr>
        <w:spacing w:line="221" w:lineRule="auto"/>
        <w:rPr>
          <w:rFonts w:ascii="仿宋" w:hAnsi="仿宋" w:eastAsia="仿宋" w:cs="仿宋"/>
          <w:sz w:val="28"/>
          <w:szCs w:val="28"/>
        </w:rPr>
        <w:sectPr>
          <w:footerReference r:id="rId19" w:type="default"/>
          <w:pgSz w:w="11920" w:h="16830"/>
          <w:pgMar w:top="1430" w:right="1788" w:bottom="2017" w:left="1710" w:header="0" w:footer="1738" w:gutter="0"/>
        </w:sect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pStyle w:val="2"/>
        <w:spacing w:before="91" w:line="219" w:lineRule="auto"/>
        <w:ind w:left="4"/>
        <w:rPr>
          <w:sz w:val="28"/>
          <w:szCs w:val="28"/>
        </w:rPr>
      </w:pPr>
      <w:r>
        <w:rPr>
          <w:b/>
          <w:bCs/>
          <w:spacing w:val="16"/>
          <w:sz w:val="28"/>
          <w:szCs w:val="28"/>
        </w:rPr>
        <w:t>附件3</w:t>
      </w:r>
    </w:p>
    <w:p>
      <w:pPr>
        <w:spacing w:line="351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pStyle w:val="2"/>
        <w:spacing w:before="124" w:line="701" w:lineRule="exact"/>
        <w:ind w:left="1605"/>
        <w:rPr>
          <w:sz w:val="38"/>
          <w:szCs w:val="38"/>
        </w:rPr>
      </w:pPr>
      <w:r>
        <w:rPr>
          <w:b/>
          <w:bCs/>
          <w:spacing w:val="1"/>
          <w:position w:val="23"/>
          <w:sz w:val="38"/>
          <w:szCs w:val="38"/>
        </w:rPr>
        <w:t>职业病防治机构提质合规行动</w:t>
      </w:r>
    </w:p>
    <w:p>
      <w:pPr>
        <w:pStyle w:val="2"/>
        <w:spacing w:line="219" w:lineRule="auto"/>
        <w:ind w:left="1965"/>
        <w:rPr>
          <w:sz w:val="38"/>
          <w:szCs w:val="38"/>
        </w:rPr>
      </w:pPr>
      <w:r>
        <w:rPr>
          <w:b/>
          <w:bCs/>
          <w:spacing w:val="15"/>
          <w:sz w:val="38"/>
          <w:szCs w:val="38"/>
        </w:rPr>
        <w:t>(2024-2025年)工作方案</w:t>
      </w:r>
    </w:p>
    <w:p>
      <w:pPr>
        <w:spacing w:line="348" w:lineRule="auto"/>
        <w:rPr>
          <w:rFonts w:ascii="Arial"/>
          <w:sz w:val="21"/>
        </w:rPr>
      </w:pPr>
    </w:p>
    <w:p>
      <w:pPr>
        <w:spacing w:line="348" w:lineRule="auto"/>
        <w:rPr>
          <w:rFonts w:ascii="Arial"/>
          <w:sz w:val="21"/>
        </w:rPr>
      </w:pPr>
    </w:p>
    <w:p>
      <w:pPr>
        <w:spacing w:before="91" w:line="375" w:lineRule="auto"/>
        <w:ind w:right="210" w:firstLine="56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3"/>
          <w:sz w:val="28"/>
          <w:szCs w:val="28"/>
        </w:rPr>
        <w:t>职业病防治机构是职业病防治体系的重要组成部分，是推进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1"/>
          <w:sz w:val="28"/>
          <w:szCs w:val="28"/>
        </w:rPr>
        <w:t>职业健康事业高质量发展的重要支撑。为贯彻落实《国家职业病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0"/>
          <w:sz w:val="28"/>
          <w:szCs w:val="28"/>
        </w:rPr>
        <w:t xml:space="preserve">防治规划(2021—2025年)》《国家卫生健康委关于加强职业病防 </w:t>
      </w:r>
      <w:r>
        <w:rPr>
          <w:rFonts w:ascii="仿宋" w:hAnsi="仿宋" w:eastAsia="仿宋" w:cs="仿宋"/>
          <w:spacing w:val="2"/>
          <w:sz w:val="28"/>
          <w:szCs w:val="28"/>
        </w:rPr>
        <w:t>治技术支撑体系建设的指导意见》(国卫职健发〔2020〕5</w:t>
      </w:r>
      <w:r>
        <w:rPr>
          <w:rFonts w:ascii="仿宋" w:hAnsi="仿宋" w:eastAsia="仿宋" w:cs="仿宋"/>
          <w:spacing w:val="1"/>
          <w:sz w:val="28"/>
          <w:szCs w:val="28"/>
        </w:rPr>
        <w:t>号，以下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2"/>
          <w:sz w:val="28"/>
          <w:szCs w:val="28"/>
        </w:rPr>
        <w:t>简称5号文件)以及有关法律法规的要求，加</w:t>
      </w:r>
      <w:r>
        <w:rPr>
          <w:rFonts w:ascii="仿宋" w:hAnsi="仿宋" w:eastAsia="仿宋" w:cs="仿宋"/>
          <w:spacing w:val="11"/>
          <w:sz w:val="28"/>
          <w:szCs w:val="28"/>
        </w:rPr>
        <w:t>快健全完善职业病防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2"/>
          <w:sz w:val="28"/>
          <w:szCs w:val="28"/>
        </w:rPr>
        <w:t>治技术支撑体系，提升服务经济社会高质量发展和保障劳动者职</w:t>
      </w:r>
    </w:p>
    <w:p>
      <w:pPr>
        <w:spacing w:line="22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业健康的能力，特制定本工作方案。</w:t>
      </w:r>
    </w:p>
    <w:p>
      <w:pPr>
        <w:spacing w:before="256" w:line="222" w:lineRule="auto"/>
        <w:ind w:left="564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7"/>
          <w:sz w:val="28"/>
          <w:szCs w:val="28"/>
        </w:rPr>
        <w:t>一、工作目标</w:t>
      </w:r>
    </w:p>
    <w:p>
      <w:pPr>
        <w:spacing w:before="226" w:line="376" w:lineRule="auto"/>
        <w:ind w:right="180" w:firstLine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3"/>
          <w:sz w:val="28"/>
          <w:szCs w:val="28"/>
        </w:rPr>
        <w:t>进一步规范职业病防治机构开展职业病危害监测评估、工程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防护、检测评价、诊断救治、职业健康检查等工作，</w:t>
      </w:r>
      <w:r>
        <w:rPr>
          <w:rFonts w:ascii="仿宋" w:hAnsi="仿宋" w:eastAsia="仿宋" w:cs="仿宋"/>
          <w:spacing w:val="-8"/>
          <w:sz w:val="28"/>
          <w:szCs w:val="28"/>
        </w:rPr>
        <w:t>提高技术支撑能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力和服务质量，加大监管力度，严肃查处违法违规行为，建立完善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3"/>
          <w:sz w:val="28"/>
          <w:szCs w:val="28"/>
        </w:rPr>
        <w:t>专项行动与日常监管相结合的长效机制和措施，切实维护劳动者</w:t>
      </w:r>
    </w:p>
    <w:p>
      <w:pPr>
        <w:spacing w:before="1" w:line="222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3"/>
          <w:sz w:val="28"/>
          <w:szCs w:val="28"/>
        </w:rPr>
        <w:t>职业健康权益。到2025年底实现以下目标：</w:t>
      </w:r>
    </w:p>
    <w:p>
      <w:pPr>
        <w:spacing w:before="231" w:line="571" w:lineRule="exact"/>
        <w:ind w:left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3"/>
          <w:position w:val="21"/>
          <w:sz w:val="28"/>
          <w:szCs w:val="28"/>
        </w:rPr>
        <w:t>(一)疾控中心或职业病防治院所能够规范开展职业病危害因</w:t>
      </w:r>
    </w:p>
    <w:p>
      <w:pPr>
        <w:spacing w:before="1" w:line="222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1"/>
          <w:sz w:val="28"/>
          <w:szCs w:val="28"/>
        </w:rPr>
        <w:t>素监测，承担85%以上的国家职业病防治监测任务。</w:t>
      </w:r>
    </w:p>
    <w:p>
      <w:pPr>
        <w:spacing w:before="231" w:line="222" w:lineRule="auto"/>
        <w:ind w:left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2"/>
          <w:sz w:val="28"/>
          <w:szCs w:val="28"/>
        </w:rPr>
        <w:t>(二)职业卫生、放射卫生技术服务机构能够按照有关规定填</w:t>
      </w:r>
    </w:p>
    <w:p>
      <w:pPr>
        <w:spacing w:line="222" w:lineRule="auto"/>
        <w:rPr>
          <w:rFonts w:ascii="仿宋" w:hAnsi="仿宋" w:eastAsia="仿宋" w:cs="仿宋"/>
          <w:sz w:val="28"/>
          <w:szCs w:val="28"/>
        </w:rPr>
        <w:sectPr>
          <w:footerReference r:id="rId20" w:type="default"/>
          <w:pgSz w:w="11920" w:h="16830"/>
          <w:pgMar w:top="1430" w:right="1788" w:bottom="2065" w:left="1739" w:header="0" w:footer="1747" w:gutter="0"/>
        </w:sect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91" w:line="370" w:lineRule="auto"/>
        <w:ind w:left="139" w:right="263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6"/>
          <w:sz w:val="28"/>
          <w:szCs w:val="28"/>
        </w:rPr>
        <w:t>报技术服务信息报送卡，上报率达到100%;监管覆</w:t>
      </w:r>
      <w:r>
        <w:rPr>
          <w:rFonts w:ascii="仿宋" w:hAnsi="仿宋" w:eastAsia="仿宋" w:cs="仿宋"/>
          <w:spacing w:val="35"/>
          <w:sz w:val="28"/>
          <w:szCs w:val="28"/>
        </w:rPr>
        <w:t>盖率达到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8"/>
          <w:sz w:val="28"/>
          <w:szCs w:val="28"/>
        </w:rPr>
        <w:t>100%,评估检查发现问题整改率达到100%,出具虚假证明文件</w:t>
      </w:r>
    </w:p>
    <w:p>
      <w:pPr>
        <w:spacing w:line="222" w:lineRule="auto"/>
        <w:ind w:left="1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9"/>
          <w:sz w:val="28"/>
          <w:szCs w:val="28"/>
        </w:rPr>
        <w:t>等违法案件查处率达到100%。</w:t>
      </w:r>
    </w:p>
    <w:p>
      <w:pPr>
        <w:spacing w:before="198" w:line="370" w:lineRule="auto"/>
        <w:ind w:left="139" w:right="256" w:firstLine="57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1"/>
          <w:sz w:val="28"/>
          <w:szCs w:val="28"/>
        </w:rPr>
        <w:t>(三)职业健康检查机构个案信息报告率与职业病诊断机构报</w:t>
      </w:r>
      <w:r>
        <w:rPr>
          <w:rFonts w:ascii="仿宋" w:hAnsi="仿宋" w:eastAsia="仿宋" w:cs="仿宋"/>
          <w:spacing w:val="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4"/>
          <w:sz w:val="28"/>
          <w:szCs w:val="28"/>
        </w:rPr>
        <w:t>告率均≥95%;质控覆盖率每两年达到100%,质</w:t>
      </w:r>
      <w:r>
        <w:rPr>
          <w:rFonts w:ascii="仿宋" w:hAnsi="仿宋" w:eastAsia="仿宋" w:cs="仿宋"/>
          <w:spacing w:val="23"/>
          <w:sz w:val="28"/>
          <w:szCs w:val="28"/>
        </w:rPr>
        <w:t>控问题整改率达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5"/>
          <w:sz w:val="28"/>
          <w:szCs w:val="28"/>
        </w:rPr>
        <w:t>到100%;上述两类机构未履行信息报告义务、出具虚假或者失实</w:t>
      </w:r>
      <w:r>
        <w:rPr>
          <w:rFonts w:ascii="仿宋" w:hAnsi="仿宋" w:eastAsia="仿宋" w:cs="仿宋"/>
          <w:spacing w:val="1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1"/>
          <w:sz w:val="28"/>
          <w:szCs w:val="28"/>
        </w:rPr>
        <w:t>的证明文件、质控不合格且未按照要求整改仍开展工作等违法违</w:t>
      </w:r>
    </w:p>
    <w:p>
      <w:pPr>
        <w:spacing w:line="222" w:lineRule="auto"/>
        <w:ind w:left="1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2"/>
          <w:sz w:val="28"/>
          <w:szCs w:val="28"/>
        </w:rPr>
        <w:t>规案件查处率达到100%。</w:t>
      </w:r>
    </w:p>
    <w:p>
      <w:pPr>
        <w:spacing w:before="279" w:line="175" w:lineRule="auto"/>
        <w:ind w:left="714"/>
        <w:outlineLvl w:val="2"/>
        <w:rPr>
          <w:rFonts w:ascii="LiSu" w:hAnsi="LiSu" w:eastAsia="LiSu" w:cs="LiSu"/>
          <w:sz w:val="28"/>
          <w:szCs w:val="28"/>
        </w:rPr>
      </w:pPr>
      <w:r>
        <w:rPr>
          <w:rFonts w:ascii="LiSu" w:hAnsi="LiSu" w:eastAsia="LiSu" w:cs="LiSu"/>
          <w:b/>
          <w:bCs/>
          <w:spacing w:val="-17"/>
          <w:sz w:val="28"/>
          <w:szCs w:val="28"/>
        </w:rPr>
        <w:t>二、工作任务</w:t>
      </w:r>
    </w:p>
    <w:p>
      <w:pPr>
        <w:spacing w:before="236" w:line="224" w:lineRule="auto"/>
        <w:ind w:left="71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4"/>
          <w:sz w:val="28"/>
          <w:szCs w:val="28"/>
        </w:rPr>
        <w:t>(一)认真查找薄弱环节。</w:t>
      </w:r>
    </w:p>
    <w:p>
      <w:pPr>
        <w:spacing w:before="205" w:line="363" w:lineRule="auto"/>
        <w:ind w:right="92" w:firstLine="71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3"/>
          <w:sz w:val="28"/>
          <w:szCs w:val="28"/>
        </w:rPr>
        <w:t>省级卫生健康行政部门要组织市级、县级卫生健康行</w:t>
      </w:r>
      <w:r>
        <w:rPr>
          <w:rFonts w:ascii="仿宋" w:hAnsi="仿宋" w:eastAsia="仿宋" w:cs="仿宋"/>
          <w:spacing w:val="12"/>
          <w:sz w:val="28"/>
          <w:szCs w:val="28"/>
        </w:rPr>
        <w:t>政部门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18"/>
          <w:sz w:val="28"/>
          <w:szCs w:val="28"/>
        </w:rPr>
        <w:t>对照《国家职业病防治规划(2021—2025年)》和5号文件明确的</w:t>
      </w:r>
      <w:r>
        <w:rPr>
          <w:rFonts w:ascii="仿宋" w:hAnsi="仿宋" w:eastAsia="仿宋" w:cs="仿宋"/>
          <w:spacing w:val="6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7"/>
          <w:sz w:val="28"/>
          <w:szCs w:val="28"/>
        </w:rPr>
        <w:t>职业病防治技术支撑能力建设标准，全面梳理查找疾</w:t>
      </w:r>
      <w:r>
        <w:rPr>
          <w:rFonts w:ascii="仿宋" w:hAnsi="仿宋" w:eastAsia="仿宋" w:cs="仿宋"/>
          <w:spacing w:val="6"/>
          <w:sz w:val="28"/>
          <w:szCs w:val="28"/>
        </w:rPr>
        <w:t>控中心、职业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12"/>
          <w:sz w:val="28"/>
          <w:szCs w:val="28"/>
        </w:rPr>
        <w:t>病防治院所存在的技术支撑能力差距，建立能力建设“底档”库。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在摸清“家底”的基础上，各级卫生健康行政部门要深入分析查找 </w:t>
      </w:r>
      <w:r>
        <w:rPr>
          <w:rFonts w:ascii="仿宋" w:hAnsi="仿宋" w:eastAsia="仿宋" w:cs="仿宋"/>
          <w:spacing w:val="-12"/>
          <w:sz w:val="28"/>
          <w:szCs w:val="28"/>
        </w:rPr>
        <w:t>问题根源，按照“一地一策”、“一单位一方案”的原则，制定能力提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2"/>
          <w:sz w:val="28"/>
          <w:szCs w:val="28"/>
        </w:rPr>
        <w:t>升“攻坚”计划。“硬件”不足的，要加快配齐仪器设备，并强化理化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20"/>
          <w:sz w:val="28"/>
          <w:szCs w:val="28"/>
        </w:rPr>
        <w:t>实验室及通用仪器设备的共享共用，避免重复建设、闲置浪费。</w:t>
      </w:r>
      <w:r>
        <w:rPr>
          <w:rFonts w:ascii="仿宋" w:hAnsi="仿宋" w:eastAsia="仿宋" w:cs="仿宋"/>
          <w:spacing w:val="1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“软件”不足的，要按照规定的职责任务和核定的人员编制，配备职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8"/>
          <w:sz w:val="28"/>
          <w:szCs w:val="28"/>
        </w:rPr>
        <w:t>业卫生、放射卫生、检测检验和职业卫生工程等专业</w:t>
      </w:r>
      <w:r>
        <w:rPr>
          <w:rFonts w:ascii="仿宋" w:hAnsi="仿宋" w:eastAsia="仿宋" w:cs="仿宋"/>
          <w:spacing w:val="7"/>
          <w:sz w:val="28"/>
          <w:szCs w:val="28"/>
        </w:rPr>
        <w:t>技术人员，持</w:t>
      </w:r>
    </w:p>
    <w:p>
      <w:pPr>
        <w:spacing w:before="1" w:line="221" w:lineRule="auto"/>
        <w:ind w:left="1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sz w:val="28"/>
          <w:szCs w:val="28"/>
        </w:rPr>
        <w:t>续提升其业务能力。</w:t>
      </w:r>
    </w:p>
    <w:p>
      <w:pPr>
        <w:spacing w:before="272" w:line="224" w:lineRule="auto"/>
        <w:ind w:left="71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8"/>
          <w:sz w:val="28"/>
          <w:szCs w:val="28"/>
        </w:rPr>
        <w:t>(二)开展职业病危害因素监测能力确认。</w:t>
      </w:r>
    </w:p>
    <w:p>
      <w:pPr>
        <w:spacing w:line="224" w:lineRule="auto"/>
        <w:rPr>
          <w:rFonts w:ascii="楷体" w:hAnsi="楷体" w:eastAsia="楷体" w:cs="楷体"/>
          <w:sz w:val="28"/>
          <w:szCs w:val="28"/>
        </w:rPr>
        <w:sectPr>
          <w:footerReference r:id="rId21" w:type="default"/>
          <w:pgSz w:w="11920" w:h="16830"/>
          <w:pgMar w:top="1430" w:right="1788" w:bottom="2007" w:left="1570" w:header="0" w:footer="1728" w:gutter="0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91" w:line="369" w:lineRule="auto"/>
        <w:ind w:right="177" w:firstLine="6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2"/>
          <w:sz w:val="28"/>
          <w:szCs w:val="28"/>
        </w:rPr>
        <w:t>省级卫生健康行政部门要对照《职业病及危害因素监测工作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3"/>
          <w:sz w:val="28"/>
          <w:szCs w:val="28"/>
        </w:rPr>
        <w:t>管理办法》明确的“职业病危害因素监测工作原</w:t>
      </w:r>
      <w:r>
        <w:rPr>
          <w:rFonts w:ascii="仿宋" w:hAnsi="仿宋" w:eastAsia="仿宋" w:cs="仿宋"/>
          <w:spacing w:val="2"/>
          <w:sz w:val="28"/>
          <w:szCs w:val="28"/>
        </w:rPr>
        <w:t>则由技术支撑机构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承担”的要求，组织疾控中心、职业病防治院所开展职业病危害因</w:t>
      </w:r>
      <w:r>
        <w:rPr>
          <w:rFonts w:ascii="仿宋" w:hAnsi="仿宋" w:eastAsia="仿宋" w:cs="仿宋"/>
          <w:spacing w:val="1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3"/>
          <w:sz w:val="28"/>
          <w:szCs w:val="28"/>
        </w:rPr>
        <w:t>素监测能力确认。已取得职业卫生、放射卫生技</w:t>
      </w:r>
      <w:r>
        <w:rPr>
          <w:rFonts w:ascii="仿宋" w:hAnsi="仿宋" w:eastAsia="仿宋" w:cs="仿宋"/>
          <w:spacing w:val="12"/>
          <w:sz w:val="28"/>
          <w:szCs w:val="28"/>
        </w:rPr>
        <w:t>术服务机构资质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的，直接确认具备能力。对其他机构，要围绕是否具备监测任务必</w:t>
      </w:r>
      <w:r>
        <w:rPr>
          <w:rFonts w:ascii="仿宋" w:hAnsi="仿宋" w:eastAsia="仿宋" w:cs="仿宋"/>
          <w:spacing w:val="1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需的工作场所、仪器设备、检测评价能力、专业人员及质</w:t>
      </w:r>
      <w:r>
        <w:rPr>
          <w:rFonts w:ascii="仿宋" w:hAnsi="仿宋" w:eastAsia="仿宋" w:cs="仿宋"/>
          <w:spacing w:val="1"/>
          <w:sz w:val="28"/>
          <w:szCs w:val="28"/>
        </w:rPr>
        <w:t>量控制能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0"/>
          <w:sz w:val="28"/>
          <w:szCs w:val="28"/>
        </w:rPr>
        <w:t>力等方面开展能力确认，并于2025年底前完成，具体实施细则由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2"/>
          <w:sz w:val="28"/>
          <w:szCs w:val="28"/>
        </w:rPr>
        <w:t>省级卫生健康行政部门制定。省级、市级疾控中心或职业病防治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 院所除完成国家职业病防治监测任务外，每年要到50家以上用人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3"/>
          <w:sz w:val="28"/>
          <w:szCs w:val="28"/>
        </w:rPr>
        <w:t>单位开展技术指导、帮扶等工作，用人单位所在地的县区级疾控中</w:t>
      </w:r>
    </w:p>
    <w:p>
      <w:pPr>
        <w:spacing w:line="221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sz w:val="28"/>
          <w:szCs w:val="28"/>
        </w:rPr>
        <w:t>心全程参与，增强职业病危害因素识别和防控</w:t>
      </w:r>
      <w:r>
        <w:rPr>
          <w:rFonts w:ascii="仿宋" w:hAnsi="仿宋" w:eastAsia="仿宋" w:cs="仿宋"/>
          <w:spacing w:val="3"/>
          <w:sz w:val="28"/>
          <w:szCs w:val="28"/>
        </w:rPr>
        <w:t>能力。</w:t>
      </w:r>
    </w:p>
    <w:p>
      <w:pPr>
        <w:spacing w:before="210" w:line="223" w:lineRule="auto"/>
        <w:ind w:left="60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9"/>
          <w:sz w:val="28"/>
          <w:szCs w:val="28"/>
        </w:rPr>
        <w:t>(三)加强职业卫生放射卫生技术服务活动事中事后监管。</w:t>
      </w:r>
    </w:p>
    <w:p>
      <w:pPr>
        <w:spacing w:before="203" w:line="363" w:lineRule="auto"/>
        <w:ind w:right="62" w:firstLine="6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各地要综合运用检测能力比对、“双随机”检查、延伸检查、举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6"/>
          <w:sz w:val="28"/>
          <w:szCs w:val="28"/>
        </w:rPr>
        <w:t>报核查等监管方式，压实技术服务机构依法规范从业的主体责任。</w:t>
      </w:r>
      <w:r>
        <w:rPr>
          <w:rFonts w:ascii="仿宋" w:hAnsi="仿宋" w:eastAsia="仿宋" w:cs="仿宋"/>
          <w:spacing w:val="1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要加强技术服务信息数据的分析、研判，深入纠正治理不报、迟报、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3"/>
          <w:sz w:val="28"/>
          <w:szCs w:val="28"/>
        </w:rPr>
        <w:t>瞒报、谎报等违法行为。对跨地域的技术服务活</w:t>
      </w:r>
      <w:r>
        <w:rPr>
          <w:rFonts w:ascii="仿宋" w:hAnsi="仿宋" w:eastAsia="仿宋" w:cs="仿宋"/>
          <w:spacing w:val="2"/>
          <w:sz w:val="28"/>
          <w:szCs w:val="28"/>
        </w:rPr>
        <w:t>动，技术服务机构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12"/>
          <w:sz w:val="28"/>
          <w:szCs w:val="28"/>
        </w:rPr>
        <w:t>所在地和用人单位所在地的卫生健康行政部门、疾控主管部门都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7"/>
          <w:sz w:val="28"/>
          <w:szCs w:val="28"/>
        </w:rPr>
        <w:t>要落实属地监管职责，织密织牢过程贯通、区域联动的监管网络。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4"/>
          <w:sz w:val="28"/>
          <w:szCs w:val="28"/>
        </w:rPr>
        <w:t>对发现的违法违规行为，要依法严肃追究技术服务机构及相</w:t>
      </w:r>
      <w:r>
        <w:rPr>
          <w:rFonts w:ascii="仿宋" w:hAnsi="仿宋" w:eastAsia="仿宋" w:cs="仿宋"/>
          <w:spacing w:val="13"/>
          <w:sz w:val="28"/>
          <w:szCs w:val="28"/>
        </w:rPr>
        <w:t>关参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3"/>
          <w:sz w:val="28"/>
          <w:szCs w:val="28"/>
        </w:rPr>
        <w:t>与人员的法律责任。涉嫌犯罪的，移送司法机关依法追究刑事</w:t>
      </w:r>
    </w:p>
    <w:p>
      <w:pPr>
        <w:spacing w:line="223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责任。</w:t>
      </w:r>
    </w:p>
    <w:p>
      <w:pPr>
        <w:spacing w:before="266" w:line="223" w:lineRule="auto"/>
        <w:ind w:left="60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9"/>
          <w:sz w:val="28"/>
          <w:szCs w:val="28"/>
        </w:rPr>
        <w:t>(四)规范职业健康检查和职业病诊断管理。</w:t>
      </w:r>
    </w:p>
    <w:p>
      <w:pPr>
        <w:spacing w:line="223" w:lineRule="auto"/>
        <w:rPr>
          <w:rFonts w:ascii="楷体" w:hAnsi="楷体" w:eastAsia="楷体" w:cs="楷体"/>
          <w:sz w:val="28"/>
          <w:szCs w:val="28"/>
        </w:rPr>
        <w:sectPr>
          <w:footerReference r:id="rId22" w:type="default"/>
          <w:pgSz w:w="11920" w:h="16830"/>
          <w:pgMar w:top="1430" w:right="1788" w:bottom="2037" w:left="1739" w:header="0" w:footer="1758" w:gutter="0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91" w:line="363" w:lineRule="auto"/>
        <w:ind w:right="122" w:firstLine="579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1"/>
          <w:sz w:val="28"/>
          <w:szCs w:val="28"/>
        </w:rPr>
        <w:t xml:space="preserve">各地要认真落实《关于进一步规范职业健康检查和职业病诊 </w:t>
      </w:r>
      <w:r>
        <w:rPr>
          <w:rFonts w:ascii="仿宋" w:hAnsi="仿宋" w:eastAsia="仿宋" w:cs="仿宋"/>
          <w:spacing w:val="-3"/>
          <w:sz w:val="28"/>
          <w:szCs w:val="28"/>
        </w:rPr>
        <w:t xml:space="preserve">断工作管理的通知》(国卫办职健函〔2023〕241号)要求，进一步强 </w:t>
      </w:r>
      <w:r>
        <w:rPr>
          <w:rFonts w:ascii="仿宋" w:hAnsi="仿宋" w:eastAsia="仿宋" w:cs="仿宋"/>
          <w:spacing w:val="1"/>
          <w:sz w:val="28"/>
          <w:szCs w:val="28"/>
        </w:rPr>
        <w:t>化两类机构的备案后核查管理、专业技术培训与指导、质量控制与</w:t>
      </w:r>
      <w:r>
        <w:rPr>
          <w:rFonts w:ascii="仿宋" w:hAnsi="仿宋" w:eastAsia="仿宋" w:cs="仿宋"/>
          <w:spacing w:val="6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11"/>
          <w:sz w:val="28"/>
          <w:szCs w:val="28"/>
        </w:rPr>
        <w:t>问题整改、信息报告等重要环节规范管理。加强质控工作与监督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3"/>
          <w:sz w:val="28"/>
          <w:szCs w:val="28"/>
        </w:rPr>
        <w:t xml:space="preserve">执法双向联动，建立质控台账，定期联合开展“回头看”,实行动态 </w:t>
      </w:r>
      <w:r>
        <w:rPr>
          <w:rFonts w:ascii="仿宋" w:hAnsi="仿宋" w:eastAsia="仿宋" w:cs="仿宋"/>
          <w:spacing w:val="6"/>
          <w:sz w:val="28"/>
          <w:szCs w:val="28"/>
        </w:rPr>
        <w:t>实时销号，确保问题整改到位。对于质控不合格且未</w:t>
      </w:r>
      <w:r>
        <w:rPr>
          <w:rFonts w:ascii="仿宋" w:hAnsi="仿宋" w:eastAsia="仿宋" w:cs="仿宋"/>
          <w:spacing w:val="5"/>
          <w:sz w:val="28"/>
          <w:szCs w:val="28"/>
        </w:rPr>
        <w:t>按要求整改、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2"/>
          <w:sz w:val="28"/>
          <w:szCs w:val="28"/>
        </w:rPr>
        <w:t>多次整改不到位或者拒不整改的机构，各地要依法严肃处理并及</w:t>
      </w:r>
      <w:r>
        <w:rPr>
          <w:rFonts w:ascii="仿宋" w:hAnsi="仿宋" w:eastAsia="仿宋" w:cs="仿宋"/>
          <w:spacing w:val="1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时向社会公布不具备《职业健康检查管理办法》《职业病诊断与鉴</w:t>
      </w:r>
    </w:p>
    <w:p>
      <w:pPr>
        <w:spacing w:before="1" w:line="22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定管理办法》所规定条件的机构名单，或不具备能力的服务项目。</w:t>
      </w:r>
    </w:p>
    <w:p>
      <w:pPr>
        <w:spacing w:before="279" w:line="229" w:lineRule="auto"/>
        <w:ind w:left="58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b/>
          <w:bCs/>
          <w:spacing w:val="1"/>
          <w:sz w:val="28"/>
          <w:szCs w:val="28"/>
        </w:rPr>
        <w:t>(五)加强人才队伍建设。</w:t>
      </w:r>
    </w:p>
    <w:p>
      <w:pPr>
        <w:spacing w:before="217" w:line="363" w:lineRule="auto"/>
        <w:ind w:right="103" w:firstLine="57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2"/>
          <w:sz w:val="28"/>
          <w:szCs w:val="28"/>
        </w:rPr>
        <w:t>省级卫生健康行政部门要高标准组织实施国家</w:t>
      </w:r>
      <w:r>
        <w:rPr>
          <w:rFonts w:ascii="仿宋" w:hAnsi="仿宋" w:eastAsia="仿宋" w:cs="仿宋"/>
          <w:spacing w:val="11"/>
          <w:sz w:val="28"/>
          <w:szCs w:val="28"/>
        </w:rPr>
        <w:t>职业病防治人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1"/>
          <w:sz w:val="28"/>
          <w:szCs w:val="28"/>
        </w:rPr>
        <w:t>才培训项目，围绕职业病防治重点工作优化课程设置，加强实际操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作能力培训，提升培训实效。要指导各级疾控中心、职业病防治院 </w:t>
      </w:r>
      <w:r>
        <w:rPr>
          <w:rFonts w:ascii="仿宋" w:hAnsi="仿宋" w:eastAsia="仿宋" w:cs="仿宋"/>
          <w:spacing w:val="-8"/>
          <w:sz w:val="28"/>
          <w:szCs w:val="28"/>
        </w:rPr>
        <w:t>所完善保障揩施，抓好人员选派、后续使用、长期培养，确保每个机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13"/>
          <w:sz w:val="28"/>
          <w:szCs w:val="28"/>
        </w:rPr>
        <w:t>构具有职业病防治骨干人才。要强化职业卫生放射卫生检测评价</w:t>
      </w:r>
      <w:r>
        <w:rPr>
          <w:rFonts w:ascii="仿宋" w:hAnsi="仿宋" w:eastAsia="仿宋" w:cs="仿宋"/>
          <w:spacing w:val="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人员、职业病诊断医师、职业健康检查主检医师等专业技术人</w:t>
      </w:r>
      <w:r>
        <w:rPr>
          <w:rFonts w:ascii="仿宋" w:hAnsi="仿宋" w:eastAsia="仿宋" w:cs="仿宋"/>
          <w:spacing w:val="1"/>
          <w:sz w:val="28"/>
          <w:szCs w:val="28"/>
        </w:rPr>
        <w:t>员的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3"/>
          <w:sz w:val="28"/>
          <w:szCs w:val="28"/>
        </w:rPr>
        <w:t>管理，加强法律法规、标准规范、实际操作能力等方面的培训</w:t>
      </w:r>
      <w:r>
        <w:rPr>
          <w:rFonts w:ascii="仿宋" w:hAnsi="仿宋" w:eastAsia="仿宋" w:cs="仿宋"/>
          <w:spacing w:val="-4"/>
          <w:sz w:val="28"/>
          <w:szCs w:val="28"/>
        </w:rPr>
        <w:t>教育，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4"/>
          <w:sz w:val="28"/>
          <w:szCs w:val="28"/>
        </w:rPr>
        <w:t>严格落实技术评审考核评估或资格考试等各项要求，持</w:t>
      </w:r>
      <w:r>
        <w:rPr>
          <w:rFonts w:ascii="仿宋" w:hAnsi="仿宋" w:eastAsia="仿宋" w:cs="仿宋"/>
          <w:spacing w:val="13"/>
          <w:sz w:val="28"/>
          <w:szCs w:val="28"/>
        </w:rPr>
        <w:t>续提升其</w:t>
      </w:r>
    </w:p>
    <w:p>
      <w:pPr>
        <w:spacing w:line="223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8"/>
          <w:szCs w:val="28"/>
        </w:rPr>
        <w:t>依法规范执业水平。</w:t>
      </w:r>
    </w:p>
    <w:p>
      <w:pPr>
        <w:spacing w:before="239" w:line="225" w:lineRule="auto"/>
        <w:ind w:left="579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7"/>
          <w:sz w:val="28"/>
          <w:szCs w:val="28"/>
        </w:rPr>
        <w:t>(六)强化职业健康社会服务功能。</w:t>
      </w:r>
    </w:p>
    <w:p>
      <w:pPr>
        <w:spacing w:before="207" w:line="574" w:lineRule="exact"/>
        <w:ind w:left="57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2"/>
          <w:position w:val="22"/>
          <w:sz w:val="28"/>
          <w:szCs w:val="28"/>
        </w:rPr>
        <w:t>各地要以辖区内劳动者职业健康需求为导向，推进职</w:t>
      </w:r>
      <w:r>
        <w:rPr>
          <w:rFonts w:ascii="仿宋" w:hAnsi="仿宋" w:eastAsia="仿宋" w:cs="仿宋"/>
          <w:spacing w:val="11"/>
          <w:position w:val="22"/>
          <w:sz w:val="28"/>
          <w:szCs w:val="28"/>
        </w:rPr>
        <w:t>业病防</w:t>
      </w:r>
    </w:p>
    <w:p>
      <w:pPr>
        <w:pStyle w:val="2"/>
        <w:spacing w:before="1" w:line="218" w:lineRule="auto"/>
        <w:rPr>
          <w:sz w:val="28"/>
          <w:szCs w:val="28"/>
        </w:rPr>
      </w:pPr>
      <w:r>
        <w:rPr>
          <w:spacing w:val="13"/>
          <w:sz w:val="28"/>
          <w:szCs w:val="28"/>
        </w:rPr>
        <w:t>治院所采取职业病诊疗康复与临床多学科相融合模式，与慢性病</w:t>
      </w:r>
    </w:p>
    <w:p>
      <w:pPr>
        <w:spacing w:line="218" w:lineRule="auto"/>
        <w:rPr>
          <w:sz w:val="28"/>
          <w:szCs w:val="28"/>
        </w:rPr>
        <w:sectPr>
          <w:footerReference r:id="rId23" w:type="default"/>
          <w:pgSz w:w="11920" w:h="16830"/>
          <w:pgMar w:top="1430" w:right="1788" w:bottom="2027" w:left="1720" w:header="0" w:footer="1753" w:gutter="0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91" w:line="363" w:lineRule="auto"/>
        <w:ind w:right="173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患者、残疾人等康复医疗服务相结合，逐步满足患者多样化、差异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12"/>
          <w:sz w:val="28"/>
          <w:szCs w:val="28"/>
        </w:rPr>
        <w:t xml:space="preserve">化需求。省级疾控中心、职业病防治院所要尽快提升职业病危害 </w:t>
      </w:r>
      <w:r>
        <w:rPr>
          <w:rFonts w:ascii="仿宋" w:hAnsi="仿宋" w:eastAsia="仿宋" w:cs="仿宋"/>
          <w:spacing w:val="11"/>
          <w:sz w:val="28"/>
          <w:szCs w:val="28"/>
        </w:rPr>
        <w:t>工程防护治理能力，抓好国家卫生健康委组织遴选的尘毒等职业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12"/>
          <w:sz w:val="28"/>
          <w:szCs w:val="28"/>
        </w:rPr>
        <w:t xml:space="preserve">病危害工程防护先进适宜技术的推广应用工作，组织开展本地先 </w:t>
      </w:r>
      <w:r>
        <w:rPr>
          <w:rFonts w:ascii="仿宋" w:hAnsi="仿宋" w:eastAsia="仿宋" w:cs="仿宋"/>
          <w:spacing w:val="11"/>
          <w:sz w:val="28"/>
          <w:szCs w:val="28"/>
        </w:rPr>
        <w:t>进适宜技术评估和筛选，引导相关企业开展转化应用。已取得职</w:t>
      </w:r>
      <w:r>
        <w:rPr>
          <w:rFonts w:ascii="仿宋" w:hAnsi="仿宋" w:eastAsia="仿宋" w:cs="仿宋"/>
          <w:spacing w:val="8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6"/>
          <w:sz w:val="28"/>
          <w:szCs w:val="28"/>
        </w:rPr>
        <w:t>业卫生、放射卫生技术服务机构资质或已备案承担职业</w:t>
      </w:r>
      <w:r>
        <w:rPr>
          <w:rFonts w:ascii="仿宋" w:hAnsi="仿宋" w:eastAsia="仿宋" w:cs="仿宋"/>
          <w:spacing w:val="5"/>
          <w:sz w:val="28"/>
          <w:szCs w:val="28"/>
        </w:rPr>
        <w:t>健康检查、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职业病诊断的疾控中心、职业病防治院所，每年要开展一定数量的 </w:t>
      </w:r>
      <w:r>
        <w:rPr>
          <w:rFonts w:ascii="仿宋" w:hAnsi="仿宋" w:eastAsia="仿宋" w:cs="仿宋"/>
          <w:spacing w:val="17"/>
          <w:sz w:val="28"/>
          <w:szCs w:val="28"/>
        </w:rPr>
        <w:t>技术服务工作。职业病防治机构要充分发挥专业</w:t>
      </w:r>
      <w:r>
        <w:rPr>
          <w:rFonts w:ascii="仿宋" w:hAnsi="仿宋" w:eastAsia="仿宋" w:cs="仿宋"/>
          <w:spacing w:val="16"/>
          <w:sz w:val="28"/>
          <w:szCs w:val="28"/>
        </w:rPr>
        <w:t>技术机构优势，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积极面向中小微型企业提供职业健康“管家服务”</w:t>
      </w:r>
      <w:r>
        <w:rPr>
          <w:rFonts w:ascii="仿宋" w:hAnsi="仿宋" w:eastAsia="仿宋" w:cs="仿宋"/>
          <w:spacing w:val="-8"/>
          <w:sz w:val="28"/>
          <w:szCs w:val="28"/>
        </w:rPr>
        <w:t>、“结对帮扶”等</w:t>
      </w:r>
    </w:p>
    <w:p>
      <w:pPr>
        <w:spacing w:line="222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服务，指导企业加强职业健康管理。</w:t>
      </w:r>
    </w:p>
    <w:p>
      <w:pPr>
        <w:pStyle w:val="2"/>
        <w:spacing w:before="271" w:line="220" w:lineRule="auto"/>
        <w:ind w:left="594"/>
        <w:outlineLvl w:val="1"/>
        <w:rPr>
          <w:sz w:val="28"/>
          <w:szCs w:val="28"/>
        </w:rPr>
      </w:pPr>
      <w:r>
        <w:rPr>
          <w:b/>
          <w:bCs/>
          <w:spacing w:val="-19"/>
          <w:sz w:val="28"/>
          <w:szCs w:val="28"/>
        </w:rPr>
        <w:t>三、工作要求</w:t>
      </w:r>
    </w:p>
    <w:p>
      <w:pPr>
        <w:spacing w:before="208" w:line="220" w:lineRule="auto"/>
        <w:ind w:left="59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"/>
          <w:sz w:val="28"/>
          <w:szCs w:val="28"/>
        </w:rPr>
        <w:t>(一)加强组织领导，建立工作机制。</w:t>
      </w:r>
    </w:p>
    <w:p>
      <w:pPr>
        <w:spacing w:before="233" w:line="369" w:lineRule="auto"/>
        <w:ind w:firstLine="59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2"/>
          <w:sz w:val="28"/>
          <w:szCs w:val="28"/>
        </w:rPr>
        <w:t>省级卫生健康行政部门要将“职业病防治机构提质合规行动”</w:t>
      </w:r>
      <w:r>
        <w:rPr>
          <w:rFonts w:ascii="仿宋" w:hAnsi="仿宋" w:eastAsia="仿宋" w:cs="仿宋"/>
          <w:spacing w:val="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1"/>
          <w:sz w:val="28"/>
          <w:szCs w:val="28"/>
        </w:rPr>
        <w:t>作为2024年和2025年的重点工作任务，细化任务和措施，明确时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间节点，压实有关单位和地方责任。各级卫生健康行政部门、疾控   </w:t>
      </w:r>
      <w:r>
        <w:rPr>
          <w:rFonts w:ascii="仿宋" w:hAnsi="仿宋" w:eastAsia="仿宋" w:cs="仿宋"/>
          <w:spacing w:val="-5"/>
          <w:sz w:val="28"/>
          <w:szCs w:val="28"/>
        </w:rPr>
        <w:t>主管部门要加强协同联动，</w:t>
      </w:r>
      <w:r>
        <w:rPr>
          <w:rFonts w:ascii="仿宋" w:hAnsi="仿宋" w:eastAsia="仿宋" w:cs="仿宋"/>
          <w:spacing w:val="8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一体部署推动、共享共</w:t>
      </w:r>
      <w:r>
        <w:rPr>
          <w:rFonts w:ascii="仿宋" w:hAnsi="仿宋" w:eastAsia="仿宋" w:cs="仿宋"/>
          <w:spacing w:val="-6"/>
          <w:sz w:val="28"/>
          <w:szCs w:val="28"/>
        </w:rPr>
        <w:t>用信息，构建协</w:t>
      </w:r>
    </w:p>
    <w:p>
      <w:pPr>
        <w:spacing w:line="22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调配合、齐抓共管的工作机制。</w:t>
      </w:r>
    </w:p>
    <w:p>
      <w:pPr>
        <w:spacing w:before="201" w:line="220" w:lineRule="auto"/>
        <w:ind w:left="59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"/>
          <w:sz w:val="28"/>
          <w:szCs w:val="28"/>
        </w:rPr>
        <w:t>(二)强化政策支持，推动健康发展。</w:t>
      </w:r>
    </w:p>
    <w:p>
      <w:pPr>
        <w:spacing w:before="223" w:line="363" w:lineRule="auto"/>
        <w:ind w:right="276" w:firstLine="59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3"/>
          <w:sz w:val="28"/>
          <w:szCs w:val="28"/>
        </w:rPr>
        <w:t>省级卫生健康行政部门、疾控主管部门要因地制宜研究</w:t>
      </w:r>
      <w:r>
        <w:rPr>
          <w:rFonts w:ascii="仿宋" w:hAnsi="仿宋" w:eastAsia="仿宋" w:cs="仿宋"/>
          <w:spacing w:val="12"/>
          <w:sz w:val="28"/>
          <w:szCs w:val="28"/>
        </w:rPr>
        <w:t>出台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政策支持措施，着力解决工作中面临的困难和问题，探索建立职业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病防治机构高质量发展的长效机制。要积极争取科技、人才、财税</w:t>
      </w:r>
    </w:p>
    <w:p>
      <w:pPr>
        <w:spacing w:before="1" w:line="222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8"/>
          <w:szCs w:val="28"/>
        </w:rPr>
        <w:t>等政策支持措施，推动职业卫生、放射卫生技术服务和职业病诊疗</w:t>
      </w:r>
    </w:p>
    <w:p>
      <w:pPr>
        <w:spacing w:line="222" w:lineRule="auto"/>
        <w:rPr>
          <w:rFonts w:ascii="仿宋" w:hAnsi="仿宋" w:eastAsia="仿宋" w:cs="仿宋"/>
          <w:sz w:val="28"/>
          <w:szCs w:val="28"/>
        </w:rPr>
        <w:sectPr>
          <w:footerReference r:id="rId24" w:type="default"/>
          <w:pgSz w:w="11920" w:h="16830"/>
          <w:pgMar w:top="1430" w:right="1706" w:bottom="2049" w:left="1729" w:header="0" w:footer="1763" w:gutter="0"/>
        </w:sect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84" w:line="221" w:lineRule="auto"/>
        <w:ind w:left="60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25"/>
          <w:sz w:val="26"/>
          <w:szCs w:val="26"/>
        </w:rPr>
        <w:t>康复服务行业健康发展。</w:t>
      </w:r>
    </w:p>
    <w:p>
      <w:pPr>
        <w:spacing w:before="229" w:line="220" w:lineRule="auto"/>
        <w:ind w:left="643"/>
        <w:rPr>
          <w:rFonts w:ascii="楷体" w:hAnsi="楷体" w:eastAsia="楷体" w:cs="楷体"/>
          <w:sz w:val="26"/>
          <w:szCs w:val="26"/>
        </w:rPr>
      </w:pPr>
      <w:r>
        <w:rPr>
          <w:rFonts w:ascii="楷体" w:hAnsi="楷体" w:eastAsia="楷体" w:cs="楷体"/>
          <w:b/>
          <w:bCs/>
          <w:spacing w:val="14"/>
          <w:sz w:val="26"/>
          <w:szCs w:val="26"/>
        </w:rPr>
        <w:t>(三)加强工作指导，推广经验做法。</w:t>
      </w:r>
    </w:p>
    <w:p>
      <w:pPr>
        <w:spacing w:before="241" w:line="398" w:lineRule="auto"/>
        <w:ind w:left="60" w:right="245" w:firstLine="580"/>
        <w:jc w:val="both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32"/>
          <w:sz w:val="26"/>
          <w:szCs w:val="26"/>
        </w:rPr>
        <w:t>省级卫生健康行政部门要对提质合规行动的进度和成效进行</w:t>
      </w:r>
      <w:r>
        <w:rPr>
          <w:rFonts w:ascii="仿宋" w:hAnsi="仿宋" w:eastAsia="仿宋" w:cs="仿宋"/>
          <w:spacing w:val="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21"/>
          <w:sz w:val="26"/>
          <w:szCs w:val="26"/>
        </w:rPr>
        <w:t>过程跟踪指导，及时总结典型经验做法，加强宣传推广，发挥示范</w:t>
      </w:r>
      <w:r>
        <w:rPr>
          <w:rFonts w:ascii="仿宋" w:hAnsi="仿宋" w:eastAsia="仿宋" w:cs="仿宋"/>
          <w:spacing w:val="1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22"/>
          <w:sz w:val="26"/>
          <w:szCs w:val="26"/>
        </w:rPr>
        <w:t>引领作用。对工作进展滞后、成效不明显的地区和单位，指导其加</w:t>
      </w:r>
    </w:p>
    <w:p>
      <w:pPr>
        <w:spacing w:line="223" w:lineRule="auto"/>
        <w:ind w:left="60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22"/>
          <w:sz w:val="26"/>
          <w:szCs w:val="26"/>
        </w:rPr>
        <w:t>快改进和提升。</w:t>
      </w:r>
    </w:p>
    <w:p>
      <w:pPr>
        <w:spacing w:before="6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tbl>
      <w:tblPr>
        <w:tblStyle w:val="5"/>
        <w:tblW w:w="831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9"/>
        <w:gridCol w:w="415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10" w:type="dxa"/>
            <w:gridSpan w:val="2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spacing w:before="149" w:line="222" w:lineRule="auto"/>
              <w:ind w:left="330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-18"/>
                <w:sz w:val="26"/>
                <w:szCs w:val="26"/>
              </w:rPr>
              <w:t>抄送：有关中央企业。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159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spacing w:before="139" w:line="222" w:lineRule="auto"/>
              <w:ind w:left="330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-3"/>
                <w:sz w:val="26"/>
                <w:szCs w:val="26"/>
              </w:rPr>
              <w:t>国家卫生健康委办公厅</w:t>
            </w:r>
          </w:p>
        </w:tc>
        <w:tc>
          <w:tcPr>
            <w:tcW w:w="4151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spacing w:before="137" w:line="222" w:lineRule="auto"/>
              <w:ind w:left="1351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24"/>
                <w:sz w:val="26"/>
                <w:szCs w:val="26"/>
              </w:rPr>
              <w:t>2024年4月30日印发</w:t>
            </w:r>
          </w:p>
        </w:tc>
      </w:tr>
    </w:tbl>
    <w:p>
      <w:pPr>
        <w:spacing w:before="127" w:line="222" w:lineRule="auto"/>
        <w:ind w:left="6370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27"/>
          <w:sz w:val="26"/>
          <w:szCs w:val="26"/>
        </w:rPr>
        <w:t>校对：彭广胜</w:t>
      </w:r>
    </w:p>
    <w:p>
      <w:pPr>
        <w:spacing w:line="222" w:lineRule="auto"/>
        <w:rPr>
          <w:rFonts w:ascii="仿宋" w:hAnsi="仿宋" w:eastAsia="仿宋" w:cs="仿宋"/>
          <w:sz w:val="26"/>
          <w:szCs w:val="26"/>
        </w:rPr>
        <w:sectPr>
          <w:footerReference r:id="rId25" w:type="default"/>
          <w:pgSz w:w="11920" w:h="16830"/>
          <w:pgMar w:top="1430" w:right="1788" w:bottom="1963" w:left="1639" w:header="0" w:footer="1704" w:gutter="0"/>
        </w:sect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104" w:line="224" w:lineRule="auto"/>
        <w:ind w:left="15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23"/>
          <w:sz w:val="32"/>
          <w:szCs w:val="32"/>
        </w:rPr>
        <w:t>附件2</w:t>
      </w:r>
    </w:p>
    <w:p>
      <w:pPr>
        <w:pStyle w:val="2"/>
        <w:spacing w:before="90" w:line="219" w:lineRule="auto"/>
        <w:ind w:left="4511"/>
        <w:rPr>
          <w:sz w:val="43"/>
          <w:szCs w:val="43"/>
        </w:rPr>
      </w:pPr>
      <w:r>
        <w:rPr>
          <w:b/>
          <w:bCs/>
          <w:spacing w:val="5"/>
          <w:sz w:val="43"/>
          <w:szCs w:val="43"/>
        </w:rPr>
        <w:t>职业病危害用人单位数据库</w:t>
      </w:r>
    </w:p>
    <w:p>
      <w:pPr>
        <w:pStyle w:val="2"/>
        <w:spacing w:before="165" w:line="219" w:lineRule="auto"/>
        <w:ind w:left="2399"/>
        <w:rPr>
          <w:sz w:val="31"/>
          <w:szCs w:val="31"/>
        </w:rPr>
      </w:pPr>
      <w:r>
        <w:rPr>
          <w:b/>
          <w:bCs/>
          <w:sz w:val="31"/>
          <w:szCs w:val="31"/>
        </w:rPr>
        <w:t>市/县/区</w:t>
      </w:r>
    </w:p>
    <w:tbl>
      <w:tblPr>
        <w:tblStyle w:val="5"/>
        <w:tblW w:w="132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779"/>
        <w:gridCol w:w="2258"/>
        <w:gridCol w:w="1409"/>
        <w:gridCol w:w="1429"/>
        <w:gridCol w:w="2179"/>
        <w:gridCol w:w="1968"/>
        <w:gridCol w:w="1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984" w:type="dxa"/>
            <w:vAlign w:val="top"/>
          </w:tcPr>
          <w:p>
            <w:pPr>
              <w:pStyle w:val="6"/>
              <w:spacing w:line="448" w:lineRule="auto"/>
            </w:pPr>
          </w:p>
          <w:p>
            <w:pPr>
              <w:spacing w:before="104" w:line="221" w:lineRule="auto"/>
              <w:ind w:left="16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32"/>
                <w:szCs w:val="32"/>
              </w:rPr>
              <w:t>序号</w:t>
            </w:r>
          </w:p>
        </w:tc>
        <w:tc>
          <w:tcPr>
            <w:tcW w:w="1779" w:type="dxa"/>
            <w:vAlign w:val="top"/>
          </w:tcPr>
          <w:p>
            <w:pPr>
              <w:pStyle w:val="6"/>
              <w:spacing w:line="258" w:lineRule="auto"/>
            </w:pPr>
          </w:p>
          <w:p>
            <w:pPr>
              <w:spacing w:before="104" w:line="218" w:lineRule="auto"/>
              <w:ind w:left="24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32"/>
                <w:szCs w:val="32"/>
              </w:rPr>
              <w:t>用人单位</w:t>
            </w:r>
          </w:p>
          <w:p>
            <w:pPr>
              <w:spacing w:line="221" w:lineRule="auto"/>
              <w:ind w:left="561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8"/>
                <w:sz w:val="32"/>
                <w:szCs w:val="32"/>
              </w:rPr>
              <w:t>名称</w:t>
            </w:r>
          </w:p>
        </w:tc>
        <w:tc>
          <w:tcPr>
            <w:tcW w:w="2258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spacing w:before="104" w:line="225" w:lineRule="auto"/>
              <w:ind w:left="801" w:right="127" w:hanging="63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6"/>
                <w:sz w:val="32"/>
                <w:szCs w:val="32"/>
              </w:rPr>
              <w:t>统一社会信用</w:t>
            </w:r>
            <w:r>
              <w:rPr>
                <w:rFonts w:ascii="宋体" w:hAnsi="宋体" w:eastAsia="宋体" w:cs="宋体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32"/>
                <w:szCs w:val="32"/>
              </w:rPr>
              <w:t>代码</w:t>
            </w:r>
          </w:p>
        </w:tc>
        <w:tc>
          <w:tcPr>
            <w:tcW w:w="1409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spacing w:before="104" w:line="232" w:lineRule="auto"/>
              <w:ind w:left="533" w:right="208" w:hanging="31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行业代</w:t>
            </w:r>
            <w:r>
              <w:rPr>
                <w:rFonts w:ascii="宋体" w:hAnsi="宋体" w:eastAsia="宋体" w:cs="宋体"/>
                <w:sz w:val="32"/>
                <w:szCs w:val="32"/>
              </w:rPr>
              <w:t xml:space="preserve"> 码</w:t>
            </w:r>
          </w:p>
        </w:tc>
        <w:tc>
          <w:tcPr>
            <w:tcW w:w="1429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spacing w:before="104" w:line="221" w:lineRule="auto"/>
              <w:ind w:left="549" w:right="222" w:hanging="3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32"/>
                <w:szCs w:val="32"/>
              </w:rPr>
              <w:t>法人代</w:t>
            </w:r>
            <w:r>
              <w:rPr>
                <w:rFonts w:ascii="宋体" w:hAnsi="宋体" w:eastAsia="宋体" w:cs="宋体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4"/>
                <w:sz w:val="32"/>
                <w:szCs w:val="32"/>
              </w:rPr>
              <w:t>表</w:t>
            </w:r>
          </w:p>
        </w:tc>
        <w:tc>
          <w:tcPr>
            <w:tcW w:w="2179" w:type="dxa"/>
            <w:vAlign w:val="top"/>
          </w:tcPr>
          <w:p>
            <w:pPr>
              <w:pStyle w:val="6"/>
              <w:spacing w:line="452" w:lineRule="auto"/>
            </w:pPr>
          </w:p>
          <w:p>
            <w:pPr>
              <w:spacing w:before="104" w:line="220" w:lineRule="auto"/>
              <w:ind w:left="466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单位地址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line="451" w:lineRule="auto"/>
            </w:pPr>
          </w:p>
          <w:p>
            <w:pPr>
              <w:spacing w:before="104" w:line="219" w:lineRule="auto"/>
              <w:ind w:left="186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是否已申报</w:t>
            </w:r>
          </w:p>
        </w:tc>
        <w:tc>
          <w:tcPr>
            <w:tcW w:w="1244" w:type="dxa"/>
            <w:vAlign w:val="top"/>
          </w:tcPr>
          <w:p>
            <w:pPr>
              <w:pStyle w:val="6"/>
              <w:spacing w:line="453" w:lineRule="auto"/>
            </w:pPr>
          </w:p>
          <w:p>
            <w:pPr>
              <w:spacing w:before="104" w:line="221" w:lineRule="auto"/>
              <w:ind w:left="28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8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84" w:type="dxa"/>
            <w:vAlign w:val="top"/>
          </w:tcPr>
          <w:p>
            <w:pPr>
              <w:pStyle w:val="6"/>
            </w:pPr>
          </w:p>
        </w:tc>
        <w:tc>
          <w:tcPr>
            <w:tcW w:w="1779" w:type="dxa"/>
            <w:vAlign w:val="top"/>
          </w:tcPr>
          <w:p>
            <w:pPr>
              <w:pStyle w:val="6"/>
            </w:pPr>
          </w:p>
        </w:tc>
        <w:tc>
          <w:tcPr>
            <w:tcW w:w="2258" w:type="dxa"/>
            <w:vAlign w:val="top"/>
          </w:tcPr>
          <w:p>
            <w:pPr>
              <w:pStyle w:val="6"/>
            </w:pPr>
          </w:p>
        </w:tc>
        <w:tc>
          <w:tcPr>
            <w:tcW w:w="140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vAlign w:val="top"/>
          </w:tcPr>
          <w:p>
            <w:pPr>
              <w:pStyle w:val="6"/>
            </w:pPr>
          </w:p>
        </w:tc>
        <w:tc>
          <w:tcPr>
            <w:tcW w:w="2179" w:type="dxa"/>
            <w:vAlign w:val="top"/>
          </w:tcPr>
          <w:p>
            <w:pPr>
              <w:pStyle w:val="6"/>
            </w:pPr>
          </w:p>
        </w:tc>
        <w:tc>
          <w:tcPr>
            <w:tcW w:w="1968" w:type="dxa"/>
            <w:vAlign w:val="top"/>
          </w:tcPr>
          <w:p>
            <w:pPr>
              <w:pStyle w:val="6"/>
            </w:pPr>
          </w:p>
        </w:tc>
        <w:tc>
          <w:tcPr>
            <w:tcW w:w="124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84" w:type="dxa"/>
            <w:vAlign w:val="top"/>
          </w:tcPr>
          <w:p>
            <w:pPr>
              <w:pStyle w:val="6"/>
            </w:pPr>
          </w:p>
        </w:tc>
        <w:tc>
          <w:tcPr>
            <w:tcW w:w="1779" w:type="dxa"/>
            <w:vAlign w:val="top"/>
          </w:tcPr>
          <w:p>
            <w:pPr>
              <w:pStyle w:val="6"/>
            </w:pPr>
          </w:p>
        </w:tc>
        <w:tc>
          <w:tcPr>
            <w:tcW w:w="2258" w:type="dxa"/>
            <w:vAlign w:val="top"/>
          </w:tcPr>
          <w:p>
            <w:pPr>
              <w:pStyle w:val="6"/>
            </w:pPr>
          </w:p>
        </w:tc>
        <w:tc>
          <w:tcPr>
            <w:tcW w:w="140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vAlign w:val="top"/>
          </w:tcPr>
          <w:p>
            <w:pPr>
              <w:pStyle w:val="6"/>
            </w:pPr>
          </w:p>
        </w:tc>
        <w:tc>
          <w:tcPr>
            <w:tcW w:w="2179" w:type="dxa"/>
            <w:vAlign w:val="top"/>
          </w:tcPr>
          <w:p>
            <w:pPr>
              <w:pStyle w:val="6"/>
            </w:pPr>
          </w:p>
        </w:tc>
        <w:tc>
          <w:tcPr>
            <w:tcW w:w="1968" w:type="dxa"/>
            <w:vAlign w:val="top"/>
          </w:tcPr>
          <w:p>
            <w:pPr>
              <w:pStyle w:val="6"/>
            </w:pPr>
          </w:p>
        </w:tc>
        <w:tc>
          <w:tcPr>
            <w:tcW w:w="124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84" w:type="dxa"/>
            <w:vAlign w:val="top"/>
          </w:tcPr>
          <w:p>
            <w:pPr>
              <w:pStyle w:val="6"/>
            </w:pPr>
          </w:p>
        </w:tc>
        <w:tc>
          <w:tcPr>
            <w:tcW w:w="1779" w:type="dxa"/>
            <w:vAlign w:val="top"/>
          </w:tcPr>
          <w:p>
            <w:pPr>
              <w:pStyle w:val="6"/>
            </w:pPr>
          </w:p>
        </w:tc>
        <w:tc>
          <w:tcPr>
            <w:tcW w:w="2258" w:type="dxa"/>
            <w:vAlign w:val="top"/>
          </w:tcPr>
          <w:p>
            <w:pPr>
              <w:pStyle w:val="6"/>
            </w:pPr>
          </w:p>
        </w:tc>
        <w:tc>
          <w:tcPr>
            <w:tcW w:w="140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vAlign w:val="top"/>
          </w:tcPr>
          <w:p>
            <w:pPr>
              <w:pStyle w:val="6"/>
            </w:pPr>
          </w:p>
        </w:tc>
        <w:tc>
          <w:tcPr>
            <w:tcW w:w="2179" w:type="dxa"/>
            <w:vAlign w:val="top"/>
          </w:tcPr>
          <w:p>
            <w:pPr>
              <w:pStyle w:val="6"/>
            </w:pPr>
          </w:p>
        </w:tc>
        <w:tc>
          <w:tcPr>
            <w:tcW w:w="1968" w:type="dxa"/>
            <w:vAlign w:val="top"/>
          </w:tcPr>
          <w:p>
            <w:pPr>
              <w:pStyle w:val="6"/>
            </w:pPr>
          </w:p>
        </w:tc>
        <w:tc>
          <w:tcPr>
            <w:tcW w:w="124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84" w:type="dxa"/>
            <w:vAlign w:val="top"/>
          </w:tcPr>
          <w:p>
            <w:pPr>
              <w:pStyle w:val="6"/>
            </w:pPr>
          </w:p>
        </w:tc>
        <w:tc>
          <w:tcPr>
            <w:tcW w:w="1779" w:type="dxa"/>
            <w:vAlign w:val="top"/>
          </w:tcPr>
          <w:p>
            <w:pPr>
              <w:pStyle w:val="6"/>
            </w:pPr>
          </w:p>
        </w:tc>
        <w:tc>
          <w:tcPr>
            <w:tcW w:w="2258" w:type="dxa"/>
            <w:vAlign w:val="top"/>
          </w:tcPr>
          <w:p>
            <w:pPr>
              <w:pStyle w:val="6"/>
            </w:pPr>
          </w:p>
        </w:tc>
        <w:tc>
          <w:tcPr>
            <w:tcW w:w="140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vAlign w:val="top"/>
          </w:tcPr>
          <w:p>
            <w:pPr>
              <w:pStyle w:val="6"/>
            </w:pPr>
          </w:p>
        </w:tc>
        <w:tc>
          <w:tcPr>
            <w:tcW w:w="2179" w:type="dxa"/>
            <w:vAlign w:val="top"/>
          </w:tcPr>
          <w:p>
            <w:pPr>
              <w:pStyle w:val="6"/>
            </w:pPr>
          </w:p>
        </w:tc>
        <w:tc>
          <w:tcPr>
            <w:tcW w:w="1968" w:type="dxa"/>
            <w:vAlign w:val="top"/>
          </w:tcPr>
          <w:p>
            <w:pPr>
              <w:pStyle w:val="6"/>
            </w:pPr>
          </w:p>
        </w:tc>
        <w:tc>
          <w:tcPr>
            <w:tcW w:w="124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84" w:type="dxa"/>
            <w:vAlign w:val="top"/>
          </w:tcPr>
          <w:p>
            <w:pPr>
              <w:pStyle w:val="6"/>
            </w:pPr>
          </w:p>
        </w:tc>
        <w:tc>
          <w:tcPr>
            <w:tcW w:w="1779" w:type="dxa"/>
            <w:vAlign w:val="top"/>
          </w:tcPr>
          <w:p>
            <w:pPr>
              <w:pStyle w:val="6"/>
            </w:pPr>
          </w:p>
        </w:tc>
        <w:tc>
          <w:tcPr>
            <w:tcW w:w="2258" w:type="dxa"/>
            <w:vAlign w:val="top"/>
          </w:tcPr>
          <w:p>
            <w:pPr>
              <w:pStyle w:val="6"/>
            </w:pPr>
          </w:p>
        </w:tc>
        <w:tc>
          <w:tcPr>
            <w:tcW w:w="140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vAlign w:val="top"/>
          </w:tcPr>
          <w:p>
            <w:pPr>
              <w:pStyle w:val="6"/>
            </w:pPr>
          </w:p>
        </w:tc>
        <w:tc>
          <w:tcPr>
            <w:tcW w:w="2179" w:type="dxa"/>
            <w:vAlign w:val="top"/>
          </w:tcPr>
          <w:p>
            <w:pPr>
              <w:pStyle w:val="6"/>
            </w:pPr>
          </w:p>
        </w:tc>
        <w:tc>
          <w:tcPr>
            <w:tcW w:w="1968" w:type="dxa"/>
            <w:vAlign w:val="top"/>
          </w:tcPr>
          <w:p>
            <w:pPr>
              <w:pStyle w:val="6"/>
            </w:pPr>
          </w:p>
        </w:tc>
        <w:tc>
          <w:tcPr>
            <w:tcW w:w="124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84" w:type="dxa"/>
            <w:vAlign w:val="top"/>
          </w:tcPr>
          <w:p>
            <w:pPr>
              <w:pStyle w:val="6"/>
            </w:pPr>
          </w:p>
        </w:tc>
        <w:tc>
          <w:tcPr>
            <w:tcW w:w="1779" w:type="dxa"/>
            <w:vAlign w:val="top"/>
          </w:tcPr>
          <w:p>
            <w:pPr>
              <w:pStyle w:val="6"/>
            </w:pPr>
          </w:p>
        </w:tc>
        <w:tc>
          <w:tcPr>
            <w:tcW w:w="2258" w:type="dxa"/>
            <w:vAlign w:val="top"/>
          </w:tcPr>
          <w:p>
            <w:pPr>
              <w:pStyle w:val="6"/>
            </w:pPr>
          </w:p>
        </w:tc>
        <w:tc>
          <w:tcPr>
            <w:tcW w:w="140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vAlign w:val="top"/>
          </w:tcPr>
          <w:p>
            <w:pPr>
              <w:pStyle w:val="6"/>
            </w:pPr>
          </w:p>
        </w:tc>
        <w:tc>
          <w:tcPr>
            <w:tcW w:w="2179" w:type="dxa"/>
            <w:vAlign w:val="top"/>
          </w:tcPr>
          <w:p>
            <w:pPr>
              <w:pStyle w:val="6"/>
            </w:pPr>
          </w:p>
        </w:tc>
        <w:tc>
          <w:tcPr>
            <w:tcW w:w="1968" w:type="dxa"/>
            <w:vAlign w:val="top"/>
          </w:tcPr>
          <w:p>
            <w:pPr>
              <w:pStyle w:val="6"/>
            </w:pPr>
          </w:p>
        </w:tc>
        <w:tc>
          <w:tcPr>
            <w:tcW w:w="124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984" w:type="dxa"/>
            <w:vAlign w:val="top"/>
          </w:tcPr>
          <w:p>
            <w:pPr>
              <w:spacing w:before="290" w:line="221" w:lineRule="auto"/>
              <w:ind w:left="2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合计</w:t>
            </w:r>
          </w:p>
        </w:tc>
        <w:tc>
          <w:tcPr>
            <w:tcW w:w="1779" w:type="dxa"/>
            <w:vAlign w:val="top"/>
          </w:tcPr>
          <w:p>
            <w:pPr>
              <w:pStyle w:val="6"/>
            </w:pPr>
          </w:p>
        </w:tc>
        <w:tc>
          <w:tcPr>
            <w:tcW w:w="2258" w:type="dxa"/>
            <w:vAlign w:val="top"/>
          </w:tcPr>
          <w:p>
            <w:pPr>
              <w:pStyle w:val="6"/>
            </w:pPr>
          </w:p>
        </w:tc>
        <w:tc>
          <w:tcPr>
            <w:tcW w:w="140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vAlign w:val="top"/>
          </w:tcPr>
          <w:p>
            <w:pPr>
              <w:pStyle w:val="6"/>
            </w:pPr>
          </w:p>
        </w:tc>
        <w:tc>
          <w:tcPr>
            <w:tcW w:w="2179" w:type="dxa"/>
            <w:vAlign w:val="top"/>
          </w:tcPr>
          <w:p>
            <w:pPr>
              <w:pStyle w:val="6"/>
            </w:pPr>
          </w:p>
        </w:tc>
        <w:tc>
          <w:tcPr>
            <w:tcW w:w="1968" w:type="dxa"/>
            <w:vAlign w:val="top"/>
          </w:tcPr>
          <w:p>
            <w:pPr>
              <w:pStyle w:val="6"/>
            </w:pPr>
          </w:p>
        </w:tc>
        <w:tc>
          <w:tcPr>
            <w:tcW w:w="1244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6" w:type="default"/>
          <w:pgSz w:w="16830" w:h="11920"/>
          <w:pgMar w:top="1013" w:right="2254" w:bottom="400" w:left="1314" w:header="0" w:footer="0" w:gutter="0"/>
        </w:sectPr>
      </w:pPr>
    </w:p>
    <w:p>
      <w:pPr>
        <w:spacing w:before="111" w:line="224" w:lineRule="auto"/>
        <w:ind w:left="13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4"/>
          <w:sz w:val="31"/>
          <w:szCs w:val="31"/>
        </w:rPr>
        <w:t>附件3</w:t>
      </w:r>
    </w:p>
    <w:p>
      <w:pPr>
        <w:spacing w:line="400" w:lineRule="auto"/>
        <w:rPr>
          <w:rFonts w:ascii="Arial"/>
          <w:sz w:val="21"/>
        </w:rPr>
      </w:pPr>
    </w:p>
    <w:p>
      <w:pPr>
        <w:pStyle w:val="2"/>
        <w:spacing w:before="140" w:line="219" w:lineRule="auto"/>
        <w:ind w:left="581"/>
        <w:rPr>
          <w:sz w:val="43"/>
          <w:szCs w:val="43"/>
        </w:rPr>
      </w:pPr>
      <w:r>
        <w:rPr>
          <w:b/>
          <w:bCs/>
          <w:spacing w:val="3"/>
          <w:sz w:val="43"/>
          <w:szCs w:val="43"/>
        </w:rPr>
        <w:t>2024-2025年各市中小微企业帮扶任务表</w:t>
      </w:r>
    </w:p>
    <w:p>
      <w:pPr>
        <w:spacing w:before="243" w:line="221" w:lineRule="auto"/>
        <w:ind w:left="7385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4"/>
          <w:sz w:val="24"/>
          <w:szCs w:val="24"/>
        </w:rPr>
        <w:t>单位：家</w:t>
      </w:r>
    </w:p>
    <w:p>
      <w:pPr>
        <w:spacing w:line="32" w:lineRule="exact"/>
      </w:pPr>
    </w:p>
    <w:tbl>
      <w:tblPr>
        <w:tblStyle w:val="5"/>
        <w:tblW w:w="84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2"/>
        <w:gridCol w:w="1958"/>
        <w:gridCol w:w="2078"/>
        <w:gridCol w:w="20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2342" w:type="dxa"/>
            <w:vAlign w:val="top"/>
          </w:tcPr>
          <w:p>
            <w:pPr>
              <w:pStyle w:val="6"/>
              <w:spacing w:line="334" w:lineRule="auto"/>
            </w:pPr>
          </w:p>
          <w:p>
            <w:pPr>
              <w:spacing w:before="97" w:line="220" w:lineRule="auto"/>
              <w:ind w:left="56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30"/>
                <w:szCs w:val="30"/>
              </w:rPr>
              <w:t>行政区域</w:t>
            </w:r>
          </w:p>
        </w:tc>
        <w:tc>
          <w:tcPr>
            <w:tcW w:w="1958" w:type="dxa"/>
            <w:vAlign w:val="top"/>
          </w:tcPr>
          <w:p>
            <w:pPr>
              <w:spacing w:before="142" w:line="590" w:lineRule="exact"/>
              <w:ind w:left="22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21"/>
                <w:sz w:val="30"/>
                <w:szCs w:val="30"/>
              </w:rPr>
              <w:t>2024年帮扶</w:t>
            </w:r>
          </w:p>
          <w:p>
            <w:pPr>
              <w:spacing w:line="219" w:lineRule="auto"/>
              <w:ind w:left="52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30"/>
                <w:szCs w:val="30"/>
              </w:rPr>
              <w:t>任务数</w:t>
            </w:r>
          </w:p>
        </w:tc>
        <w:tc>
          <w:tcPr>
            <w:tcW w:w="2078" w:type="dxa"/>
            <w:vAlign w:val="top"/>
          </w:tcPr>
          <w:p>
            <w:pPr>
              <w:spacing w:before="142" w:line="580" w:lineRule="exact"/>
              <w:ind w:left="28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21"/>
                <w:sz w:val="30"/>
                <w:szCs w:val="30"/>
              </w:rPr>
              <w:t>2025年帮扶</w:t>
            </w:r>
          </w:p>
          <w:p>
            <w:pPr>
              <w:spacing w:line="219" w:lineRule="auto"/>
              <w:ind w:left="58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30"/>
                <w:szCs w:val="30"/>
              </w:rPr>
              <w:t>任务数</w:t>
            </w:r>
          </w:p>
        </w:tc>
        <w:tc>
          <w:tcPr>
            <w:tcW w:w="2052" w:type="dxa"/>
            <w:vAlign w:val="top"/>
          </w:tcPr>
          <w:p>
            <w:pPr>
              <w:spacing w:before="142" w:line="580" w:lineRule="exact"/>
              <w:ind w:left="271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21"/>
                <w:sz w:val="30"/>
                <w:szCs w:val="30"/>
              </w:rPr>
              <w:t>合计帮扶任</w:t>
            </w:r>
          </w:p>
          <w:p>
            <w:pPr>
              <w:spacing w:line="219" w:lineRule="auto"/>
              <w:ind w:left="721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30"/>
                <w:szCs w:val="30"/>
              </w:rPr>
              <w:t>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342" w:type="dxa"/>
            <w:vAlign w:val="top"/>
          </w:tcPr>
          <w:p>
            <w:pPr>
              <w:spacing w:before="144" w:line="220" w:lineRule="auto"/>
              <w:ind w:left="71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5"/>
                <w:sz w:val="30"/>
                <w:szCs w:val="30"/>
              </w:rPr>
              <w:t>石家庄</w:t>
            </w:r>
          </w:p>
        </w:tc>
        <w:tc>
          <w:tcPr>
            <w:tcW w:w="1958" w:type="dxa"/>
            <w:vAlign w:val="top"/>
          </w:tcPr>
          <w:p>
            <w:pPr>
              <w:spacing w:before="220" w:line="183" w:lineRule="auto"/>
              <w:ind w:left="74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5"/>
                <w:sz w:val="30"/>
                <w:szCs w:val="30"/>
              </w:rPr>
              <w:t>727</w:t>
            </w:r>
          </w:p>
        </w:tc>
        <w:tc>
          <w:tcPr>
            <w:tcW w:w="2078" w:type="dxa"/>
            <w:vAlign w:val="top"/>
          </w:tcPr>
          <w:p>
            <w:pPr>
              <w:spacing w:before="219" w:line="184" w:lineRule="auto"/>
              <w:ind w:left="80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8"/>
                <w:sz w:val="30"/>
                <w:szCs w:val="30"/>
              </w:rPr>
              <w:t>153</w:t>
            </w:r>
          </w:p>
        </w:tc>
        <w:tc>
          <w:tcPr>
            <w:tcW w:w="2052" w:type="dxa"/>
            <w:vAlign w:val="top"/>
          </w:tcPr>
          <w:p>
            <w:pPr>
              <w:spacing w:before="220" w:line="183" w:lineRule="auto"/>
              <w:ind w:left="79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3"/>
                <w:sz w:val="30"/>
                <w:szCs w:val="30"/>
              </w:rPr>
              <w:t>880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342" w:type="dxa"/>
            <w:vAlign w:val="top"/>
          </w:tcPr>
          <w:p>
            <w:pPr>
              <w:spacing w:before="144" w:line="219" w:lineRule="auto"/>
              <w:ind w:left="86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7"/>
                <w:sz w:val="30"/>
                <w:szCs w:val="30"/>
              </w:rPr>
              <w:t>承德</w:t>
            </w:r>
          </w:p>
        </w:tc>
        <w:tc>
          <w:tcPr>
            <w:tcW w:w="1958" w:type="dxa"/>
            <w:vAlign w:val="top"/>
          </w:tcPr>
          <w:p>
            <w:pPr>
              <w:spacing w:before="221" w:line="183" w:lineRule="auto"/>
              <w:ind w:left="74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4"/>
                <w:sz w:val="30"/>
                <w:szCs w:val="30"/>
              </w:rPr>
              <w:t>343</w:t>
            </w:r>
          </w:p>
        </w:tc>
        <w:tc>
          <w:tcPr>
            <w:tcW w:w="2078" w:type="dxa"/>
            <w:vAlign w:val="top"/>
          </w:tcPr>
          <w:p>
            <w:pPr>
              <w:spacing w:before="220" w:line="184" w:lineRule="auto"/>
              <w:ind w:left="80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8"/>
                <w:sz w:val="30"/>
                <w:szCs w:val="30"/>
              </w:rPr>
              <w:t>118</w:t>
            </w:r>
          </w:p>
        </w:tc>
        <w:tc>
          <w:tcPr>
            <w:tcW w:w="2052" w:type="dxa"/>
            <w:vAlign w:val="top"/>
          </w:tcPr>
          <w:p>
            <w:pPr>
              <w:spacing w:before="220" w:line="184" w:lineRule="auto"/>
              <w:ind w:left="79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3"/>
                <w:sz w:val="30"/>
                <w:szCs w:val="30"/>
              </w:rPr>
              <w:t>461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342" w:type="dxa"/>
            <w:vAlign w:val="top"/>
          </w:tcPr>
          <w:p>
            <w:pPr>
              <w:spacing w:before="155" w:line="220" w:lineRule="auto"/>
              <w:ind w:left="71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4"/>
                <w:sz w:val="30"/>
                <w:szCs w:val="30"/>
              </w:rPr>
              <w:t>张家口</w:t>
            </w:r>
          </w:p>
        </w:tc>
        <w:tc>
          <w:tcPr>
            <w:tcW w:w="1958" w:type="dxa"/>
            <w:vAlign w:val="top"/>
          </w:tcPr>
          <w:p>
            <w:pPr>
              <w:spacing w:before="231" w:line="183" w:lineRule="auto"/>
              <w:ind w:left="74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4"/>
                <w:sz w:val="30"/>
                <w:szCs w:val="30"/>
              </w:rPr>
              <w:t>378</w:t>
            </w:r>
          </w:p>
        </w:tc>
        <w:tc>
          <w:tcPr>
            <w:tcW w:w="2078" w:type="dxa"/>
            <w:vAlign w:val="top"/>
          </w:tcPr>
          <w:p>
            <w:pPr>
              <w:spacing w:before="231" w:line="183" w:lineRule="auto"/>
              <w:ind w:left="80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4"/>
                <w:sz w:val="30"/>
                <w:szCs w:val="30"/>
              </w:rPr>
              <w:t>293</w:t>
            </w:r>
          </w:p>
        </w:tc>
        <w:tc>
          <w:tcPr>
            <w:tcW w:w="2052" w:type="dxa"/>
            <w:vAlign w:val="top"/>
          </w:tcPr>
          <w:p>
            <w:pPr>
              <w:spacing w:before="230" w:line="184" w:lineRule="auto"/>
              <w:ind w:left="79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4"/>
                <w:sz w:val="30"/>
                <w:szCs w:val="30"/>
              </w:rPr>
              <w:t>671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342" w:type="dxa"/>
            <w:vAlign w:val="top"/>
          </w:tcPr>
          <w:p>
            <w:pPr>
              <w:spacing w:before="145" w:line="219" w:lineRule="auto"/>
              <w:ind w:left="71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9"/>
                <w:sz w:val="30"/>
                <w:szCs w:val="30"/>
              </w:rPr>
              <w:t>秦皇岛</w:t>
            </w:r>
          </w:p>
        </w:tc>
        <w:tc>
          <w:tcPr>
            <w:tcW w:w="1958" w:type="dxa"/>
            <w:vAlign w:val="top"/>
          </w:tcPr>
          <w:p>
            <w:pPr>
              <w:spacing w:before="222" w:line="183" w:lineRule="auto"/>
              <w:ind w:left="74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4"/>
                <w:sz w:val="30"/>
                <w:szCs w:val="30"/>
              </w:rPr>
              <w:t>243</w:t>
            </w:r>
          </w:p>
        </w:tc>
        <w:tc>
          <w:tcPr>
            <w:tcW w:w="2078" w:type="dxa"/>
            <w:vAlign w:val="top"/>
          </w:tcPr>
          <w:p>
            <w:pPr>
              <w:spacing w:before="222" w:line="183" w:lineRule="auto"/>
              <w:ind w:left="88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5"/>
                <w:sz w:val="30"/>
                <w:szCs w:val="30"/>
              </w:rPr>
              <w:t>50</w:t>
            </w:r>
          </w:p>
        </w:tc>
        <w:tc>
          <w:tcPr>
            <w:tcW w:w="2052" w:type="dxa"/>
            <w:vAlign w:val="top"/>
          </w:tcPr>
          <w:p>
            <w:pPr>
              <w:spacing w:before="222" w:line="183" w:lineRule="auto"/>
              <w:ind w:left="79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4"/>
                <w:sz w:val="30"/>
                <w:szCs w:val="30"/>
              </w:rPr>
              <w:t>293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342" w:type="dxa"/>
            <w:vAlign w:val="top"/>
          </w:tcPr>
          <w:p>
            <w:pPr>
              <w:spacing w:before="150" w:line="222" w:lineRule="auto"/>
              <w:ind w:left="86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9"/>
                <w:sz w:val="30"/>
                <w:szCs w:val="30"/>
              </w:rPr>
              <w:t>唐山</w:t>
            </w:r>
          </w:p>
        </w:tc>
        <w:tc>
          <w:tcPr>
            <w:tcW w:w="1958" w:type="dxa"/>
            <w:vAlign w:val="top"/>
          </w:tcPr>
          <w:p>
            <w:pPr>
              <w:spacing w:before="221" w:line="184" w:lineRule="auto"/>
              <w:ind w:left="74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3"/>
                <w:sz w:val="30"/>
                <w:szCs w:val="30"/>
              </w:rPr>
              <w:t>491</w:t>
            </w:r>
          </w:p>
        </w:tc>
        <w:tc>
          <w:tcPr>
            <w:tcW w:w="2078" w:type="dxa"/>
            <w:vAlign w:val="top"/>
          </w:tcPr>
          <w:p>
            <w:pPr>
              <w:spacing w:before="222" w:line="183" w:lineRule="auto"/>
              <w:ind w:left="88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4"/>
                <w:sz w:val="30"/>
                <w:szCs w:val="30"/>
              </w:rPr>
              <w:t>96</w:t>
            </w:r>
          </w:p>
        </w:tc>
        <w:tc>
          <w:tcPr>
            <w:tcW w:w="2052" w:type="dxa"/>
            <w:vAlign w:val="top"/>
          </w:tcPr>
          <w:p>
            <w:pPr>
              <w:spacing w:before="222" w:line="183" w:lineRule="auto"/>
              <w:ind w:left="79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4"/>
                <w:sz w:val="30"/>
                <w:szCs w:val="30"/>
              </w:rPr>
              <w:t>587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342" w:type="dxa"/>
            <w:vAlign w:val="top"/>
          </w:tcPr>
          <w:p>
            <w:pPr>
              <w:spacing w:before="146" w:line="219" w:lineRule="auto"/>
              <w:ind w:left="86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8"/>
                <w:sz w:val="30"/>
                <w:szCs w:val="30"/>
              </w:rPr>
              <w:t>廊坊</w:t>
            </w:r>
          </w:p>
        </w:tc>
        <w:tc>
          <w:tcPr>
            <w:tcW w:w="1958" w:type="dxa"/>
            <w:vAlign w:val="top"/>
          </w:tcPr>
          <w:p>
            <w:pPr>
              <w:spacing w:before="223" w:line="183" w:lineRule="auto"/>
              <w:ind w:left="74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4"/>
                <w:sz w:val="30"/>
                <w:szCs w:val="30"/>
              </w:rPr>
              <w:t>299</w:t>
            </w:r>
          </w:p>
        </w:tc>
        <w:tc>
          <w:tcPr>
            <w:tcW w:w="2078" w:type="dxa"/>
            <w:vAlign w:val="top"/>
          </w:tcPr>
          <w:p>
            <w:pPr>
              <w:spacing w:before="222" w:line="184" w:lineRule="auto"/>
              <w:ind w:left="80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8"/>
                <w:sz w:val="30"/>
                <w:szCs w:val="30"/>
              </w:rPr>
              <w:t>120</w:t>
            </w:r>
          </w:p>
        </w:tc>
        <w:tc>
          <w:tcPr>
            <w:tcW w:w="2052" w:type="dxa"/>
            <w:vAlign w:val="top"/>
          </w:tcPr>
          <w:p>
            <w:pPr>
              <w:spacing w:before="222" w:line="184" w:lineRule="auto"/>
              <w:ind w:left="79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3"/>
                <w:sz w:val="30"/>
                <w:szCs w:val="30"/>
              </w:rPr>
              <w:t>419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342" w:type="dxa"/>
            <w:vAlign w:val="top"/>
          </w:tcPr>
          <w:p>
            <w:pPr>
              <w:spacing w:before="147" w:line="220" w:lineRule="auto"/>
              <w:ind w:left="86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9"/>
                <w:sz w:val="30"/>
                <w:szCs w:val="30"/>
              </w:rPr>
              <w:t>保定</w:t>
            </w:r>
          </w:p>
        </w:tc>
        <w:tc>
          <w:tcPr>
            <w:tcW w:w="1958" w:type="dxa"/>
            <w:vAlign w:val="top"/>
          </w:tcPr>
          <w:p>
            <w:pPr>
              <w:spacing w:before="223" w:line="183" w:lineRule="auto"/>
              <w:ind w:left="74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4"/>
                <w:sz w:val="30"/>
                <w:szCs w:val="30"/>
              </w:rPr>
              <w:t>580</w:t>
            </w:r>
          </w:p>
        </w:tc>
        <w:tc>
          <w:tcPr>
            <w:tcW w:w="2078" w:type="dxa"/>
            <w:vAlign w:val="top"/>
          </w:tcPr>
          <w:p>
            <w:pPr>
              <w:spacing w:before="223" w:line="183" w:lineRule="auto"/>
              <w:ind w:left="80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4"/>
                <w:sz w:val="30"/>
                <w:szCs w:val="30"/>
              </w:rPr>
              <w:t>258</w:t>
            </w:r>
          </w:p>
        </w:tc>
        <w:tc>
          <w:tcPr>
            <w:tcW w:w="2052" w:type="dxa"/>
            <w:vAlign w:val="top"/>
          </w:tcPr>
          <w:p>
            <w:pPr>
              <w:spacing w:before="223" w:line="183" w:lineRule="auto"/>
              <w:ind w:left="79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3"/>
                <w:sz w:val="30"/>
                <w:szCs w:val="30"/>
              </w:rPr>
              <w:t>838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342" w:type="dxa"/>
            <w:vAlign w:val="top"/>
          </w:tcPr>
          <w:p>
            <w:pPr>
              <w:spacing w:before="154" w:line="219" w:lineRule="auto"/>
              <w:ind w:left="86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6"/>
                <w:sz w:val="30"/>
                <w:szCs w:val="30"/>
              </w:rPr>
              <w:t>沧州</w:t>
            </w:r>
          </w:p>
        </w:tc>
        <w:tc>
          <w:tcPr>
            <w:tcW w:w="1958" w:type="dxa"/>
            <w:vAlign w:val="top"/>
          </w:tcPr>
          <w:p>
            <w:pPr>
              <w:spacing w:before="233" w:line="183" w:lineRule="auto"/>
              <w:ind w:left="74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4"/>
                <w:sz w:val="30"/>
                <w:szCs w:val="30"/>
              </w:rPr>
              <w:t>599</w:t>
            </w:r>
          </w:p>
        </w:tc>
        <w:tc>
          <w:tcPr>
            <w:tcW w:w="2078" w:type="dxa"/>
            <w:vAlign w:val="top"/>
          </w:tcPr>
          <w:p>
            <w:pPr>
              <w:spacing w:before="233" w:line="183" w:lineRule="auto"/>
              <w:ind w:left="88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5"/>
                <w:sz w:val="30"/>
                <w:szCs w:val="30"/>
              </w:rPr>
              <w:t>72</w:t>
            </w:r>
          </w:p>
        </w:tc>
        <w:tc>
          <w:tcPr>
            <w:tcW w:w="2052" w:type="dxa"/>
            <w:vAlign w:val="top"/>
          </w:tcPr>
          <w:p>
            <w:pPr>
              <w:spacing w:before="232" w:line="184" w:lineRule="auto"/>
              <w:ind w:left="79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4"/>
                <w:sz w:val="30"/>
                <w:szCs w:val="30"/>
              </w:rPr>
              <w:t>671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342" w:type="dxa"/>
            <w:vAlign w:val="top"/>
          </w:tcPr>
          <w:p>
            <w:pPr>
              <w:spacing w:before="147" w:line="219" w:lineRule="auto"/>
              <w:ind w:left="86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7"/>
                <w:sz w:val="30"/>
                <w:szCs w:val="30"/>
              </w:rPr>
              <w:t>衡水</w:t>
            </w:r>
          </w:p>
        </w:tc>
        <w:tc>
          <w:tcPr>
            <w:tcW w:w="1958" w:type="dxa"/>
            <w:vAlign w:val="top"/>
          </w:tcPr>
          <w:p>
            <w:pPr>
              <w:spacing w:before="224" w:line="183" w:lineRule="auto"/>
              <w:ind w:left="74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4"/>
                <w:sz w:val="30"/>
                <w:szCs w:val="30"/>
              </w:rPr>
              <w:t>390</w:t>
            </w:r>
          </w:p>
        </w:tc>
        <w:tc>
          <w:tcPr>
            <w:tcW w:w="2078" w:type="dxa"/>
            <w:vAlign w:val="top"/>
          </w:tcPr>
          <w:p>
            <w:pPr>
              <w:spacing w:before="223" w:line="184" w:lineRule="auto"/>
              <w:ind w:left="88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5"/>
                <w:sz w:val="30"/>
                <w:szCs w:val="30"/>
              </w:rPr>
              <w:t>71</w:t>
            </w:r>
          </w:p>
        </w:tc>
        <w:tc>
          <w:tcPr>
            <w:tcW w:w="2052" w:type="dxa"/>
            <w:vAlign w:val="top"/>
          </w:tcPr>
          <w:p>
            <w:pPr>
              <w:spacing w:before="223" w:line="184" w:lineRule="auto"/>
              <w:ind w:left="79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3"/>
                <w:sz w:val="30"/>
                <w:szCs w:val="30"/>
              </w:rPr>
              <w:t>461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342" w:type="dxa"/>
            <w:vAlign w:val="top"/>
          </w:tcPr>
          <w:p>
            <w:pPr>
              <w:spacing w:before="149" w:line="220" w:lineRule="auto"/>
              <w:ind w:left="86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6"/>
                <w:sz w:val="30"/>
                <w:szCs w:val="30"/>
              </w:rPr>
              <w:t>邢台</w:t>
            </w:r>
          </w:p>
        </w:tc>
        <w:tc>
          <w:tcPr>
            <w:tcW w:w="1958" w:type="dxa"/>
            <w:vAlign w:val="top"/>
          </w:tcPr>
          <w:p>
            <w:pPr>
              <w:spacing w:before="225" w:line="183" w:lineRule="auto"/>
              <w:ind w:left="74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4"/>
                <w:sz w:val="30"/>
                <w:szCs w:val="30"/>
              </w:rPr>
              <w:t>589</w:t>
            </w:r>
          </w:p>
        </w:tc>
        <w:tc>
          <w:tcPr>
            <w:tcW w:w="2078" w:type="dxa"/>
            <w:vAlign w:val="top"/>
          </w:tcPr>
          <w:p>
            <w:pPr>
              <w:spacing w:before="224" w:line="184" w:lineRule="auto"/>
              <w:ind w:left="80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8"/>
                <w:sz w:val="30"/>
                <w:szCs w:val="30"/>
              </w:rPr>
              <w:t>165</w:t>
            </w:r>
          </w:p>
        </w:tc>
        <w:tc>
          <w:tcPr>
            <w:tcW w:w="2052" w:type="dxa"/>
            <w:vAlign w:val="top"/>
          </w:tcPr>
          <w:p>
            <w:pPr>
              <w:spacing w:before="225" w:line="183" w:lineRule="auto"/>
              <w:ind w:left="79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5"/>
                <w:sz w:val="30"/>
                <w:szCs w:val="30"/>
              </w:rPr>
              <w:t>754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342" w:type="dxa"/>
            <w:vAlign w:val="top"/>
          </w:tcPr>
          <w:p>
            <w:pPr>
              <w:spacing w:before="149" w:line="221" w:lineRule="auto"/>
              <w:ind w:left="86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7"/>
                <w:sz w:val="30"/>
                <w:szCs w:val="30"/>
              </w:rPr>
              <w:t>邯郸</w:t>
            </w:r>
          </w:p>
        </w:tc>
        <w:tc>
          <w:tcPr>
            <w:tcW w:w="1958" w:type="dxa"/>
            <w:vAlign w:val="top"/>
          </w:tcPr>
          <w:p>
            <w:pPr>
              <w:spacing w:before="225" w:line="183" w:lineRule="auto"/>
              <w:ind w:left="74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4"/>
                <w:sz w:val="30"/>
                <w:szCs w:val="30"/>
              </w:rPr>
              <w:t>533</w:t>
            </w:r>
          </w:p>
        </w:tc>
        <w:tc>
          <w:tcPr>
            <w:tcW w:w="2078" w:type="dxa"/>
            <w:vAlign w:val="top"/>
          </w:tcPr>
          <w:p>
            <w:pPr>
              <w:spacing w:before="223" w:line="184" w:lineRule="auto"/>
              <w:ind w:left="80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4"/>
                <w:sz w:val="30"/>
                <w:szCs w:val="30"/>
              </w:rPr>
              <w:t>221</w:t>
            </w:r>
          </w:p>
        </w:tc>
        <w:tc>
          <w:tcPr>
            <w:tcW w:w="2052" w:type="dxa"/>
            <w:vAlign w:val="top"/>
          </w:tcPr>
          <w:p>
            <w:pPr>
              <w:spacing w:before="225" w:line="183" w:lineRule="auto"/>
              <w:ind w:left="79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5"/>
                <w:sz w:val="30"/>
                <w:szCs w:val="30"/>
              </w:rPr>
              <w:t>754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342" w:type="dxa"/>
            <w:vAlign w:val="top"/>
          </w:tcPr>
          <w:p>
            <w:pPr>
              <w:spacing w:before="146" w:line="219" w:lineRule="auto"/>
              <w:ind w:left="86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6"/>
                <w:sz w:val="30"/>
                <w:szCs w:val="30"/>
              </w:rPr>
              <w:t>定州</w:t>
            </w:r>
          </w:p>
        </w:tc>
        <w:tc>
          <w:tcPr>
            <w:tcW w:w="1958" w:type="dxa"/>
            <w:vAlign w:val="top"/>
          </w:tcPr>
          <w:p>
            <w:pPr>
              <w:spacing w:before="225" w:line="183" w:lineRule="auto"/>
              <w:ind w:left="82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5"/>
                <w:sz w:val="30"/>
                <w:szCs w:val="30"/>
              </w:rPr>
              <w:t>32</w:t>
            </w:r>
          </w:p>
        </w:tc>
        <w:tc>
          <w:tcPr>
            <w:tcW w:w="2078" w:type="dxa"/>
            <w:vAlign w:val="top"/>
          </w:tcPr>
          <w:p>
            <w:pPr>
              <w:spacing w:before="224" w:line="184" w:lineRule="auto"/>
              <w:ind w:left="88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9"/>
                <w:sz w:val="30"/>
                <w:szCs w:val="30"/>
              </w:rPr>
              <w:t>13</w:t>
            </w:r>
          </w:p>
        </w:tc>
        <w:tc>
          <w:tcPr>
            <w:tcW w:w="2052" w:type="dxa"/>
            <w:vAlign w:val="top"/>
          </w:tcPr>
          <w:p>
            <w:pPr>
              <w:spacing w:before="225" w:line="183" w:lineRule="auto"/>
              <w:ind w:left="86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3"/>
                <w:sz w:val="30"/>
                <w:szCs w:val="30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342" w:type="dxa"/>
            <w:vAlign w:val="top"/>
          </w:tcPr>
          <w:p>
            <w:pPr>
              <w:spacing w:before="159" w:line="219" w:lineRule="auto"/>
              <w:ind w:left="86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5"/>
                <w:sz w:val="30"/>
                <w:szCs w:val="30"/>
              </w:rPr>
              <w:t>辛集</w:t>
            </w:r>
          </w:p>
        </w:tc>
        <w:tc>
          <w:tcPr>
            <w:tcW w:w="1958" w:type="dxa"/>
            <w:vAlign w:val="top"/>
          </w:tcPr>
          <w:p>
            <w:pPr>
              <w:spacing w:before="236" w:line="183" w:lineRule="auto"/>
              <w:ind w:left="82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5"/>
                <w:sz w:val="30"/>
                <w:szCs w:val="30"/>
              </w:rPr>
              <w:t>34</w:t>
            </w:r>
          </w:p>
        </w:tc>
        <w:tc>
          <w:tcPr>
            <w:tcW w:w="2078" w:type="dxa"/>
            <w:vAlign w:val="top"/>
          </w:tcPr>
          <w:p>
            <w:pPr>
              <w:spacing w:before="235" w:line="184" w:lineRule="auto"/>
              <w:ind w:left="88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9"/>
                <w:sz w:val="30"/>
                <w:szCs w:val="30"/>
              </w:rPr>
              <w:t>11</w:t>
            </w:r>
          </w:p>
        </w:tc>
        <w:tc>
          <w:tcPr>
            <w:tcW w:w="2052" w:type="dxa"/>
            <w:vAlign w:val="top"/>
          </w:tcPr>
          <w:p>
            <w:pPr>
              <w:spacing w:before="236" w:line="183" w:lineRule="auto"/>
              <w:ind w:left="86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3"/>
                <w:sz w:val="30"/>
                <w:szCs w:val="30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342" w:type="dxa"/>
            <w:vAlign w:val="top"/>
          </w:tcPr>
          <w:p>
            <w:pPr>
              <w:spacing w:before="151" w:line="220" w:lineRule="auto"/>
              <w:ind w:left="56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6"/>
                <w:sz w:val="30"/>
                <w:szCs w:val="30"/>
              </w:rPr>
              <w:t>雄安新区</w:t>
            </w:r>
          </w:p>
        </w:tc>
        <w:tc>
          <w:tcPr>
            <w:tcW w:w="1958" w:type="dxa"/>
            <w:vAlign w:val="top"/>
          </w:tcPr>
          <w:p>
            <w:pPr>
              <w:spacing w:before="226" w:line="184" w:lineRule="auto"/>
              <w:ind w:left="74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8"/>
                <w:sz w:val="30"/>
                <w:szCs w:val="30"/>
              </w:rPr>
              <w:t>110</w:t>
            </w:r>
          </w:p>
        </w:tc>
        <w:tc>
          <w:tcPr>
            <w:tcW w:w="2078" w:type="dxa"/>
            <w:vAlign w:val="top"/>
          </w:tcPr>
          <w:p>
            <w:pPr>
              <w:spacing w:before="226" w:line="184" w:lineRule="auto"/>
              <w:ind w:left="88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9"/>
                <w:sz w:val="30"/>
                <w:szCs w:val="30"/>
              </w:rPr>
              <w:t>16</w:t>
            </w:r>
          </w:p>
        </w:tc>
        <w:tc>
          <w:tcPr>
            <w:tcW w:w="2052" w:type="dxa"/>
            <w:vAlign w:val="top"/>
          </w:tcPr>
          <w:p>
            <w:pPr>
              <w:spacing w:before="226" w:line="184" w:lineRule="auto"/>
              <w:ind w:left="79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8"/>
                <w:sz w:val="30"/>
                <w:szCs w:val="30"/>
              </w:rPr>
              <w:t>126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2342" w:type="dxa"/>
            <w:vAlign w:val="top"/>
          </w:tcPr>
          <w:p>
            <w:pPr>
              <w:spacing w:before="152" w:line="221" w:lineRule="auto"/>
              <w:ind w:left="71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7"/>
                <w:sz w:val="30"/>
                <w:szCs w:val="30"/>
              </w:rPr>
              <w:t>合</w:t>
            </w:r>
            <w:r>
              <w:rPr>
                <w:rFonts w:ascii="宋体" w:hAnsi="宋体" w:eastAsia="宋体" w:cs="宋体"/>
                <w:spacing w:val="18"/>
                <w:sz w:val="30"/>
                <w:szCs w:val="30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30"/>
                <w:szCs w:val="30"/>
              </w:rPr>
              <w:t>计</w:t>
            </w:r>
          </w:p>
        </w:tc>
        <w:tc>
          <w:tcPr>
            <w:tcW w:w="1958" w:type="dxa"/>
            <w:vAlign w:val="top"/>
          </w:tcPr>
          <w:p>
            <w:pPr>
              <w:spacing w:before="228" w:line="183" w:lineRule="auto"/>
              <w:ind w:left="67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4"/>
                <w:sz w:val="30"/>
                <w:szCs w:val="30"/>
              </w:rPr>
              <w:t>5348</w:t>
            </w:r>
          </w:p>
        </w:tc>
        <w:tc>
          <w:tcPr>
            <w:tcW w:w="2078" w:type="dxa"/>
            <w:vAlign w:val="top"/>
          </w:tcPr>
          <w:p>
            <w:pPr>
              <w:pStyle w:val="6"/>
              <w:spacing w:line="248" w:lineRule="auto"/>
            </w:pPr>
          </w:p>
          <w:p>
            <w:pPr>
              <w:spacing w:before="97" w:line="227" w:lineRule="exact"/>
              <w:ind w:left="73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7"/>
                <w:position w:val="-4"/>
                <w:sz w:val="30"/>
                <w:szCs w:val="30"/>
              </w:rPr>
              <w:t>1657</w:t>
            </w:r>
          </w:p>
        </w:tc>
        <w:tc>
          <w:tcPr>
            <w:tcW w:w="2052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spacing w:before="98" w:line="225" w:lineRule="exact"/>
              <w:ind w:left="71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4"/>
                <w:position w:val="-4"/>
                <w:sz w:val="30"/>
                <w:szCs w:val="30"/>
              </w:rPr>
              <w:t>7005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20" w:h="16830"/>
          <w:pgMar w:top="1430" w:right="1788" w:bottom="400" w:left="1634" w:header="0" w:footer="0" w:gutter="0"/>
        </w:sect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1" w:line="224" w:lineRule="auto"/>
        <w:ind w:left="12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7"/>
          <w:sz w:val="31"/>
          <w:szCs w:val="31"/>
        </w:rPr>
        <w:t>附件4</w:t>
      </w:r>
    </w:p>
    <w:p>
      <w:pPr>
        <w:pStyle w:val="2"/>
        <w:spacing w:before="83" w:line="219" w:lineRule="auto"/>
        <w:ind w:left="3991"/>
        <w:rPr>
          <w:sz w:val="44"/>
          <w:szCs w:val="44"/>
        </w:rPr>
      </w:pPr>
      <w:r>
        <w:rPr>
          <w:b/>
          <w:bCs/>
          <w:spacing w:val="2"/>
          <w:sz w:val="44"/>
          <w:szCs w:val="44"/>
        </w:rPr>
        <w:t>2024年各市中小微企业帮扶台账</w:t>
      </w:r>
    </w:p>
    <w:p>
      <w:pPr>
        <w:spacing w:line="324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pStyle w:val="2"/>
        <w:spacing w:before="101" w:line="219" w:lineRule="auto"/>
        <w:ind w:left="1899"/>
        <w:rPr>
          <w:sz w:val="31"/>
          <w:szCs w:val="31"/>
        </w:rPr>
      </w:pPr>
      <w:r>
        <w:rPr>
          <w:b/>
          <w:bCs/>
          <w:sz w:val="31"/>
          <w:szCs w:val="31"/>
        </w:rPr>
        <w:t>市/县/区</w:t>
      </w: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135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919"/>
        <w:gridCol w:w="819"/>
        <w:gridCol w:w="730"/>
        <w:gridCol w:w="849"/>
        <w:gridCol w:w="490"/>
        <w:gridCol w:w="909"/>
        <w:gridCol w:w="710"/>
        <w:gridCol w:w="1099"/>
        <w:gridCol w:w="570"/>
        <w:gridCol w:w="660"/>
        <w:gridCol w:w="839"/>
        <w:gridCol w:w="1089"/>
        <w:gridCol w:w="680"/>
        <w:gridCol w:w="979"/>
        <w:gridCol w:w="1039"/>
        <w:gridCol w:w="6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1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20" w:line="217" w:lineRule="auto"/>
              <w:ind w:left="7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78" w:line="230" w:lineRule="auto"/>
              <w:ind w:left="2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用人</w:t>
            </w:r>
          </w:p>
          <w:p>
            <w:pPr>
              <w:spacing w:line="220" w:lineRule="auto"/>
              <w:ind w:left="2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单位</w:t>
            </w:r>
          </w:p>
          <w:p>
            <w:pPr>
              <w:spacing w:before="36" w:line="221" w:lineRule="auto"/>
              <w:ind w:left="2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名称</w:t>
            </w:r>
          </w:p>
        </w:tc>
        <w:tc>
          <w:tcPr>
            <w:tcW w:w="81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38" w:lineRule="auto"/>
            </w:pPr>
          </w:p>
          <w:p>
            <w:pPr>
              <w:spacing w:before="78" w:line="233" w:lineRule="auto"/>
              <w:ind w:left="161" w:right="13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统一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社会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信用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代码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16" w:lineRule="auto"/>
            </w:pPr>
          </w:p>
          <w:p>
            <w:pPr>
              <w:pStyle w:val="6"/>
              <w:spacing w:line="317" w:lineRule="auto"/>
            </w:pPr>
          </w:p>
          <w:p>
            <w:pPr>
              <w:spacing w:before="78" w:line="242" w:lineRule="auto"/>
              <w:ind w:left="112" w:righ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单位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地址</w:t>
            </w:r>
          </w:p>
        </w:tc>
        <w:tc>
          <w:tcPr>
            <w:tcW w:w="7895" w:type="dxa"/>
            <w:gridSpan w:val="10"/>
            <w:vAlign w:val="top"/>
          </w:tcPr>
          <w:p>
            <w:pPr>
              <w:spacing w:before="121" w:line="219" w:lineRule="auto"/>
              <w:ind w:left="23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4"/>
                <w:szCs w:val="24"/>
              </w:rPr>
              <w:t>“五个一”帮扶工作开展情况</w:t>
            </w:r>
          </w:p>
        </w:tc>
        <w:tc>
          <w:tcPr>
            <w:tcW w:w="97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70" w:lineRule="auto"/>
            </w:pPr>
          </w:p>
          <w:p>
            <w:pPr>
              <w:spacing w:before="78" w:line="219" w:lineRule="auto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4"/>
                <w:szCs w:val="24"/>
              </w:rPr>
              <w:t>帮扶团</w:t>
            </w:r>
          </w:p>
          <w:p>
            <w:pPr>
              <w:spacing w:before="16" w:line="221" w:lineRule="auto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4"/>
                <w:szCs w:val="24"/>
              </w:rPr>
              <w:t>队成员</w:t>
            </w:r>
          </w:p>
          <w:p>
            <w:pPr>
              <w:spacing w:before="51" w:line="219" w:lineRule="auto"/>
              <w:ind w:left="2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4"/>
                <w:szCs w:val="24"/>
              </w:rPr>
              <w:t>姓名</w:t>
            </w:r>
          </w:p>
        </w:tc>
        <w:tc>
          <w:tcPr>
            <w:tcW w:w="10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20" w:lineRule="auto"/>
            </w:pPr>
          </w:p>
          <w:p>
            <w:pPr>
              <w:spacing w:before="78" w:line="229" w:lineRule="auto"/>
              <w:ind w:left="161" w:right="1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是否完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成帮扶</w:t>
            </w:r>
          </w:p>
          <w:p>
            <w:pPr>
              <w:spacing w:before="18" w:line="218" w:lineRule="auto"/>
              <w:ind w:left="396" w:right="105" w:hanging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工作目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标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95" w:line="217" w:lineRule="auto"/>
              <w:ind w:left="7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</w:trPr>
        <w:tc>
          <w:tcPr>
            <w:tcW w:w="51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91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1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49" w:type="dxa"/>
            <w:vAlign w:val="top"/>
          </w:tcPr>
          <w:p>
            <w:pPr>
              <w:spacing w:before="68" w:line="220" w:lineRule="auto"/>
              <w:ind w:left="1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是否开</w:t>
            </w:r>
          </w:p>
          <w:p>
            <w:pPr>
              <w:spacing w:before="15" w:line="219" w:lineRule="auto"/>
              <w:ind w:left="1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展帮助</w:t>
            </w:r>
          </w:p>
          <w:p>
            <w:pPr>
              <w:spacing w:before="27" w:line="221" w:lineRule="auto"/>
              <w:ind w:left="1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开展治</w:t>
            </w:r>
          </w:p>
          <w:p>
            <w:pPr>
              <w:spacing w:before="14" w:line="220" w:lineRule="auto"/>
              <w:ind w:left="1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病危害</w:t>
            </w:r>
          </w:p>
          <w:p>
            <w:pPr>
              <w:spacing w:before="14" w:line="219" w:lineRule="auto"/>
              <w:ind w:left="1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因素辨</w:t>
            </w:r>
          </w:p>
          <w:p>
            <w:pPr>
              <w:spacing w:before="20" w:line="224" w:lineRule="auto"/>
              <w:ind w:left="3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识</w:t>
            </w:r>
          </w:p>
        </w:tc>
        <w:tc>
          <w:tcPr>
            <w:tcW w:w="490" w:type="dxa"/>
            <w:textDirection w:val="tbRlV"/>
            <w:vAlign w:val="top"/>
          </w:tcPr>
          <w:p>
            <w:pPr>
              <w:spacing w:before="147" w:line="227" w:lineRule="auto"/>
              <w:ind w:left="2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开展时</w:t>
            </w:r>
            <w:r>
              <w:rPr>
                <w:rFonts w:ascii="宋体" w:hAnsi="宋体" w:eastAsia="宋体" w:cs="宋体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间</w:t>
            </w:r>
          </w:p>
        </w:tc>
        <w:tc>
          <w:tcPr>
            <w:tcW w:w="909" w:type="dxa"/>
            <w:vAlign w:val="top"/>
          </w:tcPr>
          <w:p>
            <w:pPr>
              <w:spacing w:before="56" w:line="234" w:lineRule="auto"/>
              <w:ind w:left="175" w:right="174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18"/>
                <w:szCs w:val="18"/>
              </w:rPr>
              <w:t>是够建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立一套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1"/>
                <w:sz w:val="18"/>
                <w:szCs w:val="18"/>
              </w:rPr>
              <w:t>实用的</w:t>
            </w:r>
          </w:p>
          <w:p>
            <w:pPr>
              <w:spacing w:before="18" w:line="221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职业健</w:t>
            </w:r>
          </w:p>
          <w:p>
            <w:pPr>
              <w:spacing w:before="23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康管理</w:t>
            </w:r>
          </w:p>
          <w:p>
            <w:pPr>
              <w:spacing w:before="16" w:line="220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制度</w:t>
            </w:r>
          </w:p>
        </w:tc>
        <w:tc>
          <w:tcPr>
            <w:tcW w:w="710" w:type="dxa"/>
            <w:vAlign w:val="top"/>
          </w:tcPr>
          <w:p>
            <w:pPr>
              <w:pStyle w:val="6"/>
              <w:spacing w:line="346" w:lineRule="auto"/>
            </w:pPr>
          </w:p>
          <w:p>
            <w:pPr>
              <w:spacing w:before="59" w:line="248" w:lineRule="exact"/>
              <w:ind w:left="1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4"/>
                <w:sz w:val="18"/>
                <w:szCs w:val="18"/>
              </w:rPr>
              <w:t>建立</w:t>
            </w:r>
          </w:p>
          <w:p>
            <w:pPr>
              <w:spacing w:line="219" w:lineRule="auto"/>
              <w:ind w:left="1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完成</w:t>
            </w:r>
          </w:p>
          <w:p>
            <w:pPr>
              <w:spacing w:before="8" w:line="221" w:lineRule="auto"/>
              <w:ind w:left="1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18"/>
                <w:szCs w:val="18"/>
              </w:rPr>
              <w:t>时间</w:t>
            </w:r>
          </w:p>
        </w:tc>
        <w:tc>
          <w:tcPr>
            <w:tcW w:w="1099" w:type="dxa"/>
            <w:vAlign w:val="top"/>
          </w:tcPr>
          <w:p>
            <w:pPr>
              <w:spacing w:before="57" w:line="235" w:lineRule="auto"/>
              <w:ind w:left="186" w:right="169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是否开展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一次现场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职业病危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害告知和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1"/>
                <w:sz w:val="18"/>
                <w:szCs w:val="18"/>
              </w:rPr>
              <w:t>防护用品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配置指导</w:t>
            </w:r>
          </w:p>
        </w:tc>
        <w:tc>
          <w:tcPr>
            <w:tcW w:w="570" w:type="dxa"/>
            <w:textDirection w:val="tbRlV"/>
            <w:vAlign w:val="top"/>
          </w:tcPr>
          <w:p>
            <w:pPr>
              <w:spacing w:before="205" w:line="217" w:lineRule="auto"/>
              <w:ind w:left="2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开</w:t>
            </w:r>
            <w:r>
              <w:rPr>
                <w:rFonts w:ascii="宋体" w:hAnsi="宋体" w:eastAsia="宋体" w:cs="宋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展</w:t>
            </w:r>
            <w:r>
              <w:rPr>
                <w:rFonts w:ascii="宋体" w:hAnsi="宋体" w:eastAsia="宋体" w:cs="宋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时</w:t>
            </w:r>
            <w:r>
              <w:rPr>
                <w:rFonts w:ascii="宋体" w:hAnsi="宋体" w:eastAsia="宋体" w:cs="宋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间</w:t>
            </w:r>
          </w:p>
        </w:tc>
        <w:tc>
          <w:tcPr>
            <w:tcW w:w="660" w:type="dxa"/>
            <w:vAlign w:val="top"/>
          </w:tcPr>
          <w:p>
            <w:pPr>
              <w:spacing w:before="66" w:line="235" w:lineRule="auto"/>
              <w:ind w:left="147" w:right="127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18"/>
                <w:szCs w:val="18"/>
              </w:rPr>
              <w:t>是否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18"/>
                <w:szCs w:val="18"/>
              </w:rPr>
              <w:t>举办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7"/>
                <w:sz w:val="18"/>
                <w:szCs w:val="18"/>
              </w:rPr>
              <w:t>一次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18"/>
                <w:szCs w:val="18"/>
              </w:rPr>
              <w:t>职业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18"/>
                <w:szCs w:val="18"/>
              </w:rPr>
              <w:t>健康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5"/>
                <w:sz w:val="18"/>
                <w:szCs w:val="18"/>
              </w:rPr>
              <w:t>培训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line="463" w:lineRule="auto"/>
            </w:pPr>
          </w:p>
          <w:p>
            <w:pPr>
              <w:spacing w:before="59" w:line="236" w:lineRule="auto"/>
              <w:ind w:left="327" w:right="148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举办时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间</w:t>
            </w:r>
          </w:p>
        </w:tc>
        <w:tc>
          <w:tcPr>
            <w:tcW w:w="1089" w:type="dxa"/>
            <w:vAlign w:val="top"/>
          </w:tcPr>
          <w:p>
            <w:pPr>
              <w:spacing w:before="177" w:line="232" w:lineRule="auto"/>
              <w:ind w:left="178" w:right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是否开展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一次超标</w:t>
            </w:r>
          </w:p>
          <w:p>
            <w:pPr>
              <w:spacing w:before="9" w:line="220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岗位职业</w:t>
            </w:r>
          </w:p>
          <w:p>
            <w:pPr>
              <w:spacing w:before="25" w:line="220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病危害治</w:t>
            </w:r>
          </w:p>
          <w:p>
            <w:pPr>
              <w:spacing w:before="34" w:line="229" w:lineRule="auto"/>
              <w:ind w:left="4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</w:t>
            </w:r>
          </w:p>
        </w:tc>
        <w:tc>
          <w:tcPr>
            <w:tcW w:w="680" w:type="dxa"/>
            <w:vAlign w:val="top"/>
          </w:tcPr>
          <w:p>
            <w:pPr>
              <w:pStyle w:val="6"/>
              <w:spacing w:line="477" w:lineRule="auto"/>
            </w:pPr>
          </w:p>
          <w:p>
            <w:pPr>
              <w:spacing w:before="59" w:line="221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开展</w:t>
            </w:r>
          </w:p>
          <w:p>
            <w:pPr>
              <w:spacing w:before="13" w:line="221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18"/>
                <w:szCs w:val="18"/>
              </w:rPr>
              <w:t>时间</w:t>
            </w:r>
          </w:p>
        </w:tc>
        <w:tc>
          <w:tcPr>
            <w:tcW w:w="97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7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15" w:type="dxa"/>
            <w:vAlign w:val="top"/>
          </w:tcPr>
          <w:p>
            <w:pPr>
              <w:pStyle w:val="6"/>
            </w:pPr>
          </w:p>
        </w:tc>
        <w:tc>
          <w:tcPr>
            <w:tcW w:w="919" w:type="dxa"/>
            <w:vAlign w:val="top"/>
          </w:tcPr>
          <w:p>
            <w:pPr>
              <w:pStyle w:val="6"/>
            </w:pPr>
          </w:p>
        </w:tc>
        <w:tc>
          <w:tcPr>
            <w:tcW w:w="819" w:type="dxa"/>
            <w:vAlign w:val="top"/>
          </w:tcPr>
          <w:p>
            <w:pPr>
              <w:pStyle w:val="6"/>
            </w:pPr>
          </w:p>
        </w:tc>
        <w:tc>
          <w:tcPr>
            <w:tcW w:w="730" w:type="dxa"/>
            <w:vAlign w:val="top"/>
          </w:tcPr>
          <w:p>
            <w:pPr>
              <w:pStyle w:val="6"/>
            </w:pP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490" w:type="dxa"/>
            <w:vAlign w:val="top"/>
          </w:tcPr>
          <w:p>
            <w:pPr>
              <w:pStyle w:val="6"/>
            </w:pPr>
          </w:p>
        </w:tc>
        <w:tc>
          <w:tcPr>
            <w:tcW w:w="909" w:type="dxa"/>
            <w:vAlign w:val="top"/>
          </w:tcPr>
          <w:p>
            <w:pPr>
              <w:pStyle w:val="6"/>
            </w:pPr>
          </w:p>
        </w:tc>
        <w:tc>
          <w:tcPr>
            <w:tcW w:w="710" w:type="dxa"/>
            <w:vAlign w:val="top"/>
          </w:tcPr>
          <w:p>
            <w:pPr>
              <w:pStyle w:val="6"/>
            </w:pPr>
          </w:p>
        </w:tc>
        <w:tc>
          <w:tcPr>
            <w:tcW w:w="1099" w:type="dxa"/>
            <w:vAlign w:val="top"/>
          </w:tcPr>
          <w:p>
            <w:pPr>
              <w:pStyle w:val="6"/>
            </w:pPr>
          </w:p>
        </w:tc>
        <w:tc>
          <w:tcPr>
            <w:tcW w:w="570" w:type="dxa"/>
            <w:vAlign w:val="top"/>
          </w:tcPr>
          <w:p>
            <w:pPr>
              <w:pStyle w:val="6"/>
            </w:pPr>
          </w:p>
        </w:tc>
        <w:tc>
          <w:tcPr>
            <w:tcW w:w="660" w:type="dxa"/>
            <w:vAlign w:val="top"/>
          </w:tcPr>
          <w:p>
            <w:pPr>
              <w:pStyle w:val="6"/>
            </w:pPr>
          </w:p>
        </w:tc>
        <w:tc>
          <w:tcPr>
            <w:tcW w:w="839" w:type="dxa"/>
            <w:vAlign w:val="top"/>
          </w:tcPr>
          <w:p>
            <w:pPr>
              <w:pStyle w:val="6"/>
            </w:pPr>
          </w:p>
        </w:tc>
        <w:tc>
          <w:tcPr>
            <w:tcW w:w="1089" w:type="dxa"/>
            <w:vAlign w:val="top"/>
          </w:tcPr>
          <w:p>
            <w:pPr>
              <w:pStyle w:val="6"/>
            </w:pPr>
          </w:p>
        </w:tc>
        <w:tc>
          <w:tcPr>
            <w:tcW w:w="680" w:type="dxa"/>
            <w:vAlign w:val="top"/>
          </w:tcPr>
          <w:p>
            <w:pPr>
              <w:pStyle w:val="6"/>
            </w:pPr>
          </w:p>
        </w:tc>
        <w:tc>
          <w:tcPr>
            <w:tcW w:w="979" w:type="dxa"/>
            <w:vAlign w:val="top"/>
          </w:tcPr>
          <w:p>
            <w:pPr>
              <w:pStyle w:val="6"/>
            </w:pPr>
          </w:p>
        </w:tc>
        <w:tc>
          <w:tcPr>
            <w:tcW w:w="1039" w:type="dxa"/>
            <w:vAlign w:val="top"/>
          </w:tcPr>
          <w:p>
            <w:pPr>
              <w:pStyle w:val="6"/>
            </w:pPr>
          </w:p>
        </w:tc>
        <w:tc>
          <w:tcPr>
            <w:tcW w:w="67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15" w:type="dxa"/>
            <w:vAlign w:val="top"/>
          </w:tcPr>
          <w:p>
            <w:pPr>
              <w:pStyle w:val="6"/>
            </w:pPr>
          </w:p>
        </w:tc>
        <w:tc>
          <w:tcPr>
            <w:tcW w:w="919" w:type="dxa"/>
            <w:vAlign w:val="top"/>
          </w:tcPr>
          <w:p>
            <w:pPr>
              <w:pStyle w:val="6"/>
            </w:pPr>
          </w:p>
        </w:tc>
        <w:tc>
          <w:tcPr>
            <w:tcW w:w="819" w:type="dxa"/>
            <w:vAlign w:val="top"/>
          </w:tcPr>
          <w:p>
            <w:pPr>
              <w:pStyle w:val="6"/>
            </w:pPr>
          </w:p>
        </w:tc>
        <w:tc>
          <w:tcPr>
            <w:tcW w:w="730" w:type="dxa"/>
            <w:vAlign w:val="top"/>
          </w:tcPr>
          <w:p>
            <w:pPr>
              <w:pStyle w:val="6"/>
            </w:pP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490" w:type="dxa"/>
            <w:vAlign w:val="top"/>
          </w:tcPr>
          <w:p>
            <w:pPr>
              <w:pStyle w:val="6"/>
            </w:pPr>
          </w:p>
        </w:tc>
        <w:tc>
          <w:tcPr>
            <w:tcW w:w="909" w:type="dxa"/>
            <w:vAlign w:val="top"/>
          </w:tcPr>
          <w:p>
            <w:pPr>
              <w:pStyle w:val="6"/>
            </w:pPr>
          </w:p>
        </w:tc>
        <w:tc>
          <w:tcPr>
            <w:tcW w:w="710" w:type="dxa"/>
            <w:vAlign w:val="top"/>
          </w:tcPr>
          <w:p>
            <w:pPr>
              <w:pStyle w:val="6"/>
            </w:pPr>
          </w:p>
        </w:tc>
        <w:tc>
          <w:tcPr>
            <w:tcW w:w="1099" w:type="dxa"/>
            <w:vAlign w:val="top"/>
          </w:tcPr>
          <w:p>
            <w:pPr>
              <w:pStyle w:val="6"/>
            </w:pPr>
          </w:p>
        </w:tc>
        <w:tc>
          <w:tcPr>
            <w:tcW w:w="570" w:type="dxa"/>
            <w:vAlign w:val="top"/>
          </w:tcPr>
          <w:p>
            <w:pPr>
              <w:pStyle w:val="6"/>
            </w:pPr>
          </w:p>
        </w:tc>
        <w:tc>
          <w:tcPr>
            <w:tcW w:w="660" w:type="dxa"/>
            <w:vAlign w:val="top"/>
          </w:tcPr>
          <w:p>
            <w:pPr>
              <w:pStyle w:val="6"/>
            </w:pPr>
          </w:p>
        </w:tc>
        <w:tc>
          <w:tcPr>
            <w:tcW w:w="839" w:type="dxa"/>
            <w:vAlign w:val="top"/>
          </w:tcPr>
          <w:p>
            <w:pPr>
              <w:pStyle w:val="6"/>
            </w:pPr>
          </w:p>
        </w:tc>
        <w:tc>
          <w:tcPr>
            <w:tcW w:w="1089" w:type="dxa"/>
            <w:vAlign w:val="top"/>
          </w:tcPr>
          <w:p>
            <w:pPr>
              <w:pStyle w:val="6"/>
            </w:pPr>
          </w:p>
        </w:tc>
        <w:tc>
          <w:tcPr>
            <w:tcW w:w="680" w:type="dxa"/>
            <w:vAlign w:val="top"/>
          </w:tcPr>
          <w:p>
            <w:pPr>
              <w:pStyle w:val="6"/>
            </w:pPr>
          </w:p>
        </w:tc>
        <w:tc>
          <w:tcPr>
            <w:tcW w:w="979" w:type="dxa"/>
            <w:vAlign w:val="top"/>
          </w:tcPr>
          <w:p>
            <w:pPr>
              <w:pStyle w:val="6"/>
            </w:pPr>
          </w:p>
        </w:tc>
        <w:tc>
          <w:tcPr>
            <w:tcW w:w="1039" w:type="dxa"/>
            <w:vAlign w:val="top"/>
          </w:tcPr>
          <w:p>
            <w:pPr>
              <w:pStyle w:val="6"/>
            </w:pPr>
          </w:p>
        </w:tc>
        <w:tc>
          <w:tcPr>
            <w:tcW w:w="67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15" w:type="dxa"/>
            <w:vAlign w:val="top"/>
          </w:tcPr>
          <w:p>
            <w:pPr>
              <w:pStyle w:val="6"/>
            </w:pPr>
          </w:p>
        </w:tc>
        <w:tc>
          <w:tcPr>
            <w:tcW w:w="919" w:type="dxa"/>
            <w:vAlign w:val="top"/>
          </w:tcPr>
          <w:p>
            <w:pPr>
              <w:pStyle w:val="6"/>
            </w:pPr>
          </w:p>
        </w:tc>
        <w:tc>
          <w:tcPr>
            <w:tcW w:w="819" w:type="dxa"/>
            <w:vAlign w:val="top"/>
          </w:tcPr>
          <w:p>
            <w:pPr>
              <w:pStyle w:val="6"/>
            </w:pPr>
          </w:p>
        </w:tc>
        <w:tc>
          <w:tcPr>
            <w:tcW w:w="730" w:type="dxa"/>
            <w:vAlign w:val="top"/>
          </w:tcPr>
          <w:p>
            <w:pPr>
              <w:pStyle w:val="6"/>
            </w:pP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490" w:type="dxa"/>
            <w:vAlign w:val="top"/>
          </w:tcPr>
          <w:p>
            <w:pPr>
              <w:pStyle w:val="6"/>
            </w:pPr>
          </w:p>
        </w:tc>
        <w:tc>
          <w:tcPr>
            <w:tcW w:w="909" w:type="dxa"/>
            <w:vAlign w:val="top"/>
          </w:tcPr>
          <w:p>
            <w:pPr>
              <w:pStyle w:val="6"/>
            </w:pPr>
          </w:p>
        </w:tc>
        <w:tc>
          <w:tcPr>
            <w:tcW w:w="710" w:type="dxa"/>
            <w:vAlign w:val="top"/>
          </w:tcPr>
          <w:p>
            <w:pPr>
              <w:pStyle w:val="6"/>
            </w:pPr>
          </w:p>
        </w:tc>
        <w:tc>
          <w:tcPr>
            <w:tcW w:w="1099" w:type="dxa"/>
            <w:vAlign w:val="top"/>
          </w:tcPr>
          <w:p>
            <w:pPr>
              <w:pStyle w:val="6"/>
            </w:pPr>
          </w:p>
        </w:tc>
        <w:tc>
          <w:tcPr>
            <w:tcW w:w="570" w:type="dxa"/>
            <w:vAlign w:val="top"/>
          </w:tcPr>
          <w:p>
            <w:pPr>
              <w:pStyle w:val="6"/>
            </w:pPr>
          </w:p>
        </w:tc>
        <w:tc>
          <w:tcPr>
            <w:tcW w:w="660" w:type="dxa"/>
            <w:vAlign w:val="top"/>
          </w:tcPr>
          <w:p>
            <w:pPr>
              <w:pStyle w:val="6"/>
            </w:pPr>
          </w:p>
        </w:tc>
        <w:tc>
          <w:tcPr>
            <w:tcW w:w="839" w:type="dxa"/>
            <w:vAlign w:val="top"/>
          </w:tcPr>
          <w:p>
            <w:pPr>
              <w:pStyle w:val="6"/>
            </w:pPr>
          </w:p>
        </w:tc>
        <w:tc>
          <w:tcPr>
            <w:tcW w:w="1089" w:type="dxa"/>
            <w:vAlign w:val="top"/>
          </w:tcPr>
          <w:p>
            <w:pPr>
              <w:pStyle w:val="6"/>
            </w:pPr>
          </w:p>
        </w:tc>
        <w:tc>
          <w:tcPr>
            <w:tcW w:w="680" w:type="dxa"/>
            <w:vAlign w:val="top"/>
          </w:tcPr>
          <w:p>
            <w:pPr>
              <w:pStyle w:val="6"/>
            </w:pPr>
          </w:p>
        </w:tc>
        <w:tc>
          <w:tcPr>
            <w:tcW w:w="979" w:type="dxa"/>
            <w:vAlign w:val="top"/>
          </w:tcPr>
          <w:p>
            <w:pPr>
              <w:pStyle w:val="6"/>
            </w:pPr>
          </w:p>
        </w:tc>
        <w:tc>
          <w:tcPr>
            <w:tcW w:w="1039" w:type="dxa"/>
            <w:vAlign w:val="top"/>
          </w:tcPr>
          <w:p>
            <w:pPr>
              <w:pStyle w:val="6"/>
            </w:pPr>
          </w:p>
        </w:tc>
        <w:tc>
          <w:tcPr>
            <w:tcW w:w="67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15" w:type="dxa"/>
            <w:vAlign w:val="top"/>
          </w:tcPr>
          <w:p>
            <w:pPr>
              <w:pStyle w:val="6"/>
            </w:pPr>
          </w:p>
        </w:tc>
        <w:tc>
          <w:tcPr>
            <w:tcW w:w="919" w:type="dxa"/>
            <w:vAlign w:val="top"/>
          </w:tcPr>
          <w:p>
            <w:pPr>
              <w:pStyle w:val="6"/>
            </w:pPr>
          </w:p>
        </w:tc>
        <w:tc>
          <w:tcPr>
            <w:tcW w:w="819" w:type="dxa"/>
            <w:vAlign w:val="top"/>
          </w:tcPr>
          <w:p>
            <w:pPr>
              <w:pStyle w:val="6"/>
            </w:pPr>
          </w:p>
        </w:tc>
        <w:tc>
          <w:tcPr>
            <w:tcW w:w="730" w:type="dxa"/>
            <w:vAlign w:val="top"/>
          </w:tcPr>
          <w:p>
            <w:pPr>
              <w:pStyle w:val="6"/>
            </w:pP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490" w:type="dxa"/>
            <w:vAlign w:val="top"/>
          </w:tcPr>
          <w:p>
            <w:pPr>
              <w:pStyle w:val="6"/>
            </w:pPr>
          </w:p>
        </w:tc>
        <w:tc>
          <w:tcPr>
            <w:tcW w:w="909" w:type="dxa"/>
            <w:vAlign w:val="top"/>
          </w:tcPr>
          <w:p>
            <w:pPr>
              <w:pStyle w:val="6"/>
            </w:pPr>
          </w:p>
        </w:tc>
        <w:tc>
          <w:tcPr>
            <w:tcW w:w="710" w:type="dxa"/>
            <w:vAlign w:val="top"/>
          </w:tcPr>
          <w:p>
            <w:pPr>
              <w:pStyle w:val="6"/>
            </w:pPr>
          </w:p>
        </w:tc>
        <w:tc>
          <w:tcPr>
            <w:tcW w:w="1099" w:type="dxa"/>
            <w:vAlign w:val="top"/>
          </w:tcPr>
          <w:p>
            <w:pPr>
              <w:pStyle w:val="6"/>
            </w:pPr>
          </w:p>
        </w:tc>
        <w:tc>
          <w:tcPr>
            <w:tcW w:w="570" w:type="dxa"/>
            <w:vAlign w:val="top"/>
          </w:tcPr>
          <w:p>
            <w:pPr>
              <w:pStyle w:val="6"/>
            </w:pPr>
          </w:p>
        </w:tc>
        <w:tc>
          <w:tcPr>
            <w:tcW w:w="660" w:type="dxa"/>
            <w:vAlign w:val="top"/>
          </w:tcPr>
          <w:p>
            <w:pPr>
              <w:pStyle w:val="6"/>
            </w:pPr>
          </w:p>
        </w:tc>
        <w:tc>
          <w:tcPr>
            <w:tcW w:w="839" w:type="dxa"/>
            <w:vAlign w:val="top"/>
          </w:tcPr>
          <w:p>
            <w:pPr>
              <w:pStyle w:val="6"/>
            </w:pPr>
          </w:p>
        </w:tc>
        <w:tc>
          <w:tcPr>
            <w:tcW w:w="1089" w:type="dxa"/>
            <w:vAlign w:val="top"/>
          </w:tcPr>
          <w:p>
            <w:pPr>
              <w:pStyle w:val="6"/>
            </w:pPr>
          </w:p>
        </w:tc>
        <w:tc>
          <w:tcPr>
            <w:tcW w:w="680" w:type="dxa"/>
            <w:vAlign w:val="top"/>
          </w:tcPr>
          <w:p>
            <w:pPr>
              <w:pStyle w:val="6"/>
            </w:pPr>
          </w:p>
        </w:tc>
        <w:tc>
          <w:tcPr>
            <w:tcW w:w="979" w:type="dxa"/>
            <w:vAlign w:val="top"/>
          </w:tcPr>
          <w:p>
            <w:pPr>
              <w:pStyle w:val="6"/>
            </w:pPr>
          </w:p>
        </w:tc>
        <w:tc>
          <w:tcPr>
            <w:tcW w:w="1039" w:type="dxa"/>
            <w:vAlign w:val="top"/>
          </w:tcPr>
          <w:p>
            <w:pPr>
              <w:pStyle w:val="6"/>
            </w:pPr>
          </w:p>
        </w:tc>
        <w:tc>
          <w:tcPr>
            <w:tcW w:w="67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15" w:type="dxa"/>
            <w:vAlign w:val="top"/>
          </w:tcPr>
          <w:p>
            <w:pPr>
              <w:pStyle w:val="6"/>
            </w:pPr>
          </w:p>
        </w:tc>
        <w:tc>
          <w:tcPr>
            <w:tcW w:w="919" w:type="dxa"/>
            <w:vAlign w:val="top"/>
          </w:tcPr>
          <w:p>
            <w:pPr>
              <w:pStyle w:val="6"/>
            </w:pPr>
          </w:p>
        </w:tc>
        <w:tc>
          <w:tcPr>
            <w:tcW w:w="819" w:type="dxa"/>
            <w:vAlign w:val="top"/>
          </w:tcPr>
          <w:p>
            <w:pPr>
              <w:pStyle w:val="6"/>
            </w:pPr>
          </w:p>
        </w:tc>
        <w:tc>
          <w:tcPr>
            <w:tcW w:w="730" w:type="dxa"/>
            <w:vAlign w:val="top"/>
          </w:tcPr>
          <w:p>
            <w:pPr>
              <w:pStyle w:val="6"/>
            </w:pP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490" w:type="dxa"/>
            <w:vAlign w:val="top"/>
          </w:tcPr>
          <w:p>
            <w:pPr>
              <w:pStyle w:val="6"/>
            </w:pPr>
          </w:p>
        </w:tc>
        <w:tc>
          <w:tcPr>
            <w:tcW w:w="909" w:type="dxa"/>
            <w:vAlign w:val="top"/>
          </w:tcPr>
          <w:p>
            <w:pPr>
              <w:pStyle w:val="6"/>
            </w:pPr>
          </w:p>
        </w:tc>
        <w:tc>
          <w:tcPr>
            <w:tcW w:w="710" w:type="dxa"/>
            <w:vAlign w:val="top"/>
          </w:tcPr>
          <w:p>
            <w:pPr>
              <w:pStyle w:val="6"/>
            </w:pPr>
          </w:p>
        </w:tc>
        <w:tc>
          <w:tcPr>
            <w:tcW w:w="1099" w:type="dxa"/>
            <w:vAlign w:val="top"/>
          </w:tcPr>
          <w:p>
            <w:pPr>
              <w:pStyle w:val="6"/>
            </w:pPr>
          </w:p>
        </w:tc>
        <w:tc>
          <w:tcPr>
            <w:tcW w:w="570" w:type="dxa"/>
            <w:vAlign w:val="top"/>
          </w:tcPr>
          <w:p>
            <w:pPr>
              <w:pStyle w:val="6"/>
            </w:pPr>
          </w:p>
        </w:tc>
        <w:tc>
          <w:tcPr>
            <w:tcW w:w="660" w:type="dxa"/>
            <w:vAlign w:val="top"/>
          </w:tcPr>
          <w:p>
            <w:pPr>
              <w:pStyle w:val="6"/>
            </w:pPr>
          </w:p>
        </w:tc>
        <w:tc>
          <w:tcPr>
            <w:tcW w:w="839" w:type="dxa"/>
            <w:vAlign w:val="top"/>
          </w:tcPr>
          <w:p>
            <w:pPr>
              <w:pStyle w:val="6"/>
            </w:pPr>
          </w:p>
        </w:tc>
        <w:tc>
          <w:tcPr>
            <w:tcW w:w="1089" w:type="dxa"/>
            <w:vAlign w:val="top"/>
          </w:tcPr>
          <w:p>
            <w:pPr>
              <w:pStyle w:val="6"/>
            </w:pPr>
          </w:p>
        </w:tc>
        <w:tc>
          <w:tcPr>
            <w:tcW w:w="680" w:type="dxa"/>
            <w:vAlign w:val="top"/>
          </w:tcPr>
          <w:p>
            <w:pPr>
              <w:pStyle w:val="6"/>
            </w:pPr>
          </w:p>
        </w:tc>
        <w:tc>
          <w:tcPr>
            <w:tcW w:w="979" w:type="dxa"/>
            <w:vAlign w:val="top"/>
          </w:tcPr>
          <w:p>
            <w:pPr>
              <w:pStyle w:val="6"/>
            </w:pPr>
          </w:p>
        </w:tc>
        <w:tc>
          <w:tcPr>
            <w:tcW w:w="1039" w:type="dxa"/>
            <w:vAlign w:val="top"/>
          </w:tcPr>
          <w:p>
            <w:pPr>
              <w:pStyle w:val="6"/>
            </w:pPr>
          </w:p>
        </w:tc>
        <w:tc>
          <w:tcPr>
            <w:tcW w:w="67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15" w:type="dxa"/>
            <w:textDirection w:val="tbRlV"/>
            <w:vAlign w:val="top"/>
          </w:tcPr>
          <w:p>
            <w:pPr>
              <w:spacing w:before="170" w:line="217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919" w:type="dxa"/>
            <w:vAlign w:val="top"/>
          </w:tcPr>
          <w:p>
            <w:pPr>
              <w:pStyle w:val="6"/>
            </w:pPr>
          </w:p>
        </w:tc>
        <w:tc>
          <w:tcPr>
            <w:tcW w:w="819" w:type="dxa"/>
            <w:vAlign w:val="top"/>
          </w:tcPr>
          <w:p>
            <w:pPr>
              <w:pStyle w:val="6"/>
            </w:pPr>
          </w:p>
        </w:tc>
        <w:tc>
          <w:tcPr>
            <w:tcW w:w="730" w:type="dxa"/>
            <w:vAlign w:val="top"/>
          </w:tcPr>
          <w:p>
            <w:pPr>
              <w:pStyle w:val="6"/>
            </w:pP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490" w:type="dxa"/>
            <w:vAlign w:val="top"/>
          </w:tcPr>
          <w:p>
            <w:pPr>
              <w:pStyle w:val="6"/>
            </w:pPr>
          </w:p>
        </w:tc>
        <w:tc>
          <w:tcPr>
            <w:tcW w:w="909" w:type="dxa"/>
            <w:vAlign w:val="top"/>
          </w:tcPr>
          <w:p>
            <w:pPr>
              <w:pStyle w:val="6"/>
            </w:pPr>
          </w:p>
        </w:tc>
        <w:tc>
          <w:tcPr>
            <w:tcW w:w="710" w:type="dxa"/>
            <w:vAlign w:val="top"/>
          </w:tcPr>
          <w:p>
            <w:pPr>
              <w:pStyle w:val="6"/>
            </w:pPr>
          </w:p>
        </w:tc>
        <w:tc>
          <w:tcPr>
            <w:tcW w:w="1099" w:type="dxa"/>
            <w:vAlign w:val="top"/>
          </w:tcPr>
          <w:p>
            <w:pPr>
              <w:pStyle w:val="6"/>
            </w:pPr>
          </w:p>
        </w:tc>
        <w:tc>
          <w:tcPr>
            <w:tcW w:w="570" w:type="dxa"/>
            <w:vAlign w:val="top"/>
          </w:tcPr>
          <w:p>
            <w:pPr>
              <w:pStyle w:val="6"/>
            </w:pPr>
          </w:p>
        </w:tc>
        <w:tc>
          <w:tcPr>
            <w:tcW w:w="660" w:type="dxa"/>
            <w:vAlign w:val="top"/>
          </w:tcPr>
          <w:p>
            <w:pPr>
              <w:pStyle w:val="6"/>
            </w:pPr>
          </w:p>
        </w:tc>
        <w:tc>
          <w:tcPr>
            <w:tcW w:w="839" w:type="dxa"/>
            <w:vAlign w:val="top"/>
          </w:tcPr>
          <w:p>
            <w:pPr>
              <w:pStyle w:val="6"/>
            </w:pPr>
          </w:p>
        </w:tc>
        <w:tc>
          <w:tcPr>
            <w:tcW w:w="1089" w:type="dxa"/>
            <w:vAlign w:val="top"/>
          </w:tcPr>
          <w:p>
            <w:pPr>
              <w:pStyle w:val="6"/>
            </w:pPr>
          </w:p>
        </w:tc>
        <w:tc>
          <w:tcPr>
            <w:tcW w:w="680" w:type="dxa"/>
            <w:vAlign w:val="top"/>
          </w:tcPr>
          <w:p>
            <w:pPr>
              <w:pStyle w:val="6"/>
            </w:pPr>
          </w:p>
        </w:tc>
        <w:tc>
          <w:tcPr>
            <w:tcW w:w="979" w:type="dxa"/>
            <w:vAlign w:val="top"/>
          </w:tcPr>
          <w:p>
            <w:pPr>
              <w:pStyle w:val="6"/>
            </w:pPr>
          </w:p>
        </w:tc>
        <w:tc>
          <w:tcPr>
            <w:tcW w:w="1039" w:type="dxa"/>
            <w:vAlign w:val="top"/>
          </w:tcPr>
          <w:p>
            <w:pPr>
              <w:pStyle w:val="6"/>
            </w:pPr>
          </w:p>
        </w:tc>
        <w:tc>
          <w:tcPr>
            <w:tcW w:w="674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0" w:h="11920"/>
          <w:pgMar w:top="1013" w:right="1905" w:bottom="400" w:left="1344" w:header="0" w:footer="0" w:gutter="0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2"/>
        <w:spacing w:before="101" w:line="219" w:lineRule="auto"/>
        <w:ind w:left="149"/>
        <w:rPr>
          <w:sz w:val="31"/>
          <w:szCs w:val="31"/>
        </w:rPr>
      </w:pPr>
      <w:r>
        <w:rPr>
          <w:b/>
          <w:bCs/>
          <w:spacing w:val="31"/>
          <w:sz w:val="31"/>
          <w:szCs w:val="31"/>
        </w:rPr>
        <w:t>附件5</w:t>
      </w:r>
    </w:p>
    <w:p>
      <w:pPr>
        <w:pStyle w:val="2"/>
        <w:spacing w:before="117" w:line="219" w:lineRule="auto"/>
        <w:ind w:left="2521"/>
        <w:rPr>
          <w:sz w:val="43"/>
          <w:szCs w:val="43"/>
        </w:rPr>
      </w:pPr>
      <w:r>
        <w:rPr>
          <w:b/>
          <w:bCs/>
          <w:spacing w:val="5"/>
          <w:sz w:val="43"/>
          <w:szCs w:val="43"/>
        </w:rPr>
        <w:t>市级疾控中心/职业病防治院帮扶用人单位情况表</w:t>
      </w:r>
    </w:p>
    <w:p>
      <w:pPr>
        <w:spacing w:line="318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pStyle w:val="2"/>
        <w:spacing w:before="101" w:line="219" w:lineRule="auto"/>
        <w:ind w:left="285"/>
        <w:rPr>
          <w:sz w:val="31"/>
          <w:szCs w:val="31"/>
        </w:rPr>
      </w:pPr>
      <w:r>
        <w:rPr>
          <w:spacing w:val="-1"/>
          <w:sz w:val="31"/>
          <w:szCs w:val="31"/>
        </w:rPr>
        <w:t>帮扶单位：</w:t>
      </w:r>
    </w:p>
    <w:p>
      <w:pPr>
        <w:spacing w:line="14" w:lineRule="exact"/>
      </w:pPr>
    </w:p>
    <w:tbl>
      <w:tblPr>
        <w:tblStyle w:val="5"/>
        <w:tblW w:w="137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969"/>
        <w:gridCol w:w="1969"/>
        <w:gridCol w:w="1589"/>
        <w:gridCol w:w="2478"/>
        <w:gridCol w:w="2388"/>
        <w:gridCol w:w="23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</w:trPr>
        <w:tc>
          <w:tcPr>
            <w:tcW w:w="984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pStyle w:val="6"/>
              <w:spacing w:line="306" w:lineRule="auto"/>
            </w:pPr>
          </w:p>
          <w:p>
            <w:pPr>
              <w:spacing w:before="104" w:line="221" w:lineRule="auto"/>
              <w:ind w:left="16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9"/>
                <w:sz w:val="32"/>
                <w:szCs w:val="32"/>
              </w:rPr>
              <w:t>序号</w:t>
            </w:r>
          </w:p>
        </w:tc>
        <w:tc>
          <w:tcPr>
            <w:tcW w:w="1969" w:type="dxa"/>
            <w:vAlign w:val="top"/>
          </w:tcPr>
          <w:p>
            <w:pPr>
              <w:pStyle w:val="6"/>
              <w:spacing w:line="412" w:lineRule="auto"/>
            </w:pPr>
          </w:p>
          <w:p>
            <w:pPr>
              <w:spacing w:before="104" w:line="227" w:lineRule="auto"/>
              <w:ind w:left="649" w:right="174" w:hanging="47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 xml:space="preserve">被帮扶对象 </w:t>
            </w:r>
            <w:r>
              <w:rPr>
                <w:rFonts w:ascii="宋体" w:hAnsi="宋体" w:eastAsia="宋体" w:cs="宋体"/>
                <w:spacing w:val="8"/>
                <w:sz w:val="32"/>
                <w:szCs w:val="32"/>
              </w:rPr>
              <w:t>名称</w:t>
            </w:r>
          </w:p>
        </w:tc>
        <w:tc>
          <w:tcPr>
            <w:tcW w:w="1969" w:type="dxa"/>
            <w:vAlign w:val="top"/>
          </w:tcPr>
          <w:p>
            <w:pPr>
              <w:pStyle w:val="6"/>
              <w:spacing w:line="400" w:lineRule="auto"/>
            </w:pPr>
          </w:p>
          <w:p>
            <w:pPr>
              <w:spacing w:before="104" w:line="231" w:lineRule="auto"/>
              <w:ind w:left="491" w:right="164" w:hanging="31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统一社会信</w:t>
            </w:r>
            <w:r>
              <w:rPr>
                <w:rFonts w:ascii="宋体" w:hAnsi="宋体" w:eastAsia="宋体" w:cs="宋体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用代码</w:t>
            </w:r>
          </w:p>
        </w:tc>
        <w:tc>
          <w:tcPr>
            <w:tcW w:w="1589" w:type="dxa"/>
            <w:vAlign w:val="top"/>
          </w:tcPr>
          <w:p>
            <w:pPr>
              <w:pStyle w:val="6"/>
              <w:spacing w:line="305" w:lineRule="auto"/>
            </w:pPr>
          </w:p>
          <w:p>
            <w:pPr>
              <w:pStyle w:val="6"/>
              <w:spacing w:line="305" w:lineRule="auto"/>
            </w:pPr>
          </w:p>
          <w:p>
            <w:pPr>
              <w:spacing w:before="104" w:line="219" w:lineRule="auto"/>
              <w:ind w:left="16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sz w:val="32"/>
                <w:szCs w:val="32"/>
              </w:rPr>
              <w:t>帮扶时间</w:t>
            </w:r>
          </w:p>
        </w:tc>
        <w:tc>
          <w:tcPr>
            <w:tcW w:w="2478" w:type="dxa"/>
            <w:vAlign w:val="top"/>
          </w:tcPr>
          <w:p>
            <w:pPr>
              <w:pStyle w:val="6"/>
              <w:spacing w:line="305" w:lineRule="auto"/>
            </w:pPr>
          </w:p>
          <w:p>
            <w:pPr>
              <w:pStyle w:val="6"/>
              <w:spacing w:line="305" w:lineRule="auto"/>
            </w:pPr>
          </w:p>
          <w:p>
            <w:pPr>
              <w:spacing w:before="104" w:line="219" w:lineRule="auto"/>
              <w:ind w:left="58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帮扶形式</w:t>
            </w:r>
          </w:p>
        </w:tc>
        <w:tc>
          <w:tcPr>
            <w:tcW w:w="2388" w:type="dxa"/>
            <w:vAlign w:val="top"/>
          </w:tcPr>
          <w:p>
            <w:pPr>
              <w:pStyle w:val="6"/>
              <w:spacing w:line="305" w:lineRule="auto"/>
            </w:pPr>
          </w:p>
          <w:p>
            <w:pPr>
              <w:pStyle w:val="6"/>
              <w:spacing w:line="305" w:lineRule="auto"/>
            </w:pPr>
          </w:p>
          <w:p>
            <w:pPr>
              <w:spacing w:before="104" w:line="219" w:lineRule="auto"/>
              <w:ind w:left="246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6"/>
                <w:sz w:val="32"/>
                <w:szCs w:val="32"/>
              </w:rPr>
              <w:t>帮扶成员姓名</w:t>
            </w:r>
          </w:p>
        </w:tc>
        <w:tc>
          <w:tcPr>
            <w:tcW w:w="2363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pStyle w:val="6"/>
              <w:spacing w:line="306" w:lineRule="auto"/>
            </w:pPr>
          </w:p>
          <w:p>
            <w:pPr>
              <w:spacing w:before="104" w:line="221" w:lineRule="auto"/>
              <w:ind w:left="868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8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84" w:type="dxa"/>
            <w:vAlign w:val="top"/>
          </w:tcPr>
          <w:p>
            <w:pPr>
              <w:pStyle w:val="6"/>
            </w:pPr>
          </w:p>
        </w:tc>
        <w:tc>
          <w:tcPr>
            <w:tcW w:w="1969" w:type="dxa"/>
            <w:vAlign w:val="top"/>
          </w:tcPr>
          <w:p>
            <w:pPr>
              <w:pStyle w:val="6"/>
            </w:pPr>
          </w:p>
        </w:tc>
        <w:tc>
          <w:tcPr>
            <w:tcW w:w="1969" w:type="dxa"/>
            <w:vAlign w:val="top"/>
          </w:tcPr>
          <w:p>
            <w:pPr>
              <w:pStyle w:val="6"/>
            </w:pPr>
          </w:p>
        </w:tc>
        <w:tc>
          <w:tcPr>
            <w:tcW w:w="1589" w:type="dxa"/>
            <w:vAlign w:val="top"/>
          </w:tcPr>
          <w:p>
            <w:pPr>
              <w:pStyle w:val="6"/>
            </w:pPr>
          </w:p>
        </w:tc>
        <w:tc>
          <w:tcPr>
            <w:tcW w:w="2478" w:type="dxa"/>
            <w:vAlign w:val="top"/>
          </w:tcPr>
          <w:p>
            <w:pPr>
              <w:pStyle w:val="6"/>
            </w:pPr>
          </w:p>
        </w:tc>
        <w:tc>
          <w:tcPr>
            <w:tcW w:w="2388" w:type="dxa"/>
            <w:vAlign w:val="top"/>
          </w:tcPr>
          <w:p>
            <w:pPr>
              <w:pStyle w:val="6"/>
            </w:pPr>
          </w:p>
        </w:tc>
        <w:tc>
          <w:tcPr>
            <w:tcW w:w="236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84" w:type="dxa"/>
            <w:vAlign w:val="top"/>
          </w:tcPr>
          <w:p>
            <w:pPr>
              <w:pStyle w:val="6"/>
            </w:pPr>
          </w:p>
        </w:tc>
        <w:tc>
          <w:tcPr>
            <w:tcW w:w="1969" w:type="dxa"/>
            <w:vAlign w:val="top"/>
          </w:tcPr>
          <w:p>
            <w:pPr>
              <w:pStyle w:val="6"/>
            </w:pPr>
          </w:p>
        </w:tc>
        <w:tc>
          <w:tcPr>
            <w:tcW w:w="1969" w:type="dxa"/>
            <w:vAlign w:val="top"/>
          </w:tcPr>
          <w:p>
            <w:pPr>
              <w:pStyle w:val="6"/>
            </w:pPr>
          </w:p>
        </w:tc>
        <w:tc>
          <w:tcPr>
            <w:tcW w:w="1589" w:type="dxa"/>
            <w:vAlign w:val="top"/>
          </w:tcPr>
          <w:p>
            <w:pPr>
              <w:pStyle w:val="6"/>
            </w:pPr>
          </w:p>
        </w:tc>
        <w:tc>
          <w:tcPr>
            <w:tcW w:w="2478" w:type="dxa"/>
            <w:vAlign w:val="top"/>
          </w:tcPr>
          <w:p>
            <w:pPr>
              <w:pStyle w:val="6"/>
            </w:pPr>
          </w:p>
        </w:tc>
        <w:tc>
          <w:tcPr>
            <w:tcW w:w="2388" w:type="dxa"/>
            <w:vAlign w:val="top"/>
          </w:tcPr>
          <w:p>
            <w:pPr>
              <w:pStyle w:val="6"/>
            </w:pPr>
          </w:p>
        </w:tc>
        <w:tc>
          <w:tcPr>
            <w:tcW w:w="236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84" w:type="dxa"/>
            <w:vAlign w:val="top"/>
          </w:tcPr>
          <w:p>
            <w:pPr>
              <w:pStyle w:val="6"/>
            </w:pPr>
          </w:p>
        </w:tc>
        <w:tc>
          <w:tcPr>
            <w:tcW w:w="1969" w:type="dxa"/>
            <w:vAlign w:val="top"/>
          </w:tcPr>
          <w:p>
            <w:pPr>
              <w:pStyle w:val="6"/>
            </w:pPr>
          </w:p>
        </w:tc>
        <w:tc>
          <w:tcPr>
            <w:tcW w:w="1969" w:type="dxa"/>
            <w:vAlign w:val="top"/>
          </w:tcPr>
          <w:p>
            <w:pPr>
              <w:pStyle w:val="6"/>
            </w:pPr>
          </w:p>
        </w:tc>
        <w:tc>
          <w:tcPr>
            <w:tcW w:w="1589" w:type="dxa"/>
            <w:vAlign w:val="top"/>
          </w:tcPr>
          <w:p>
            <w:pPr>
              <w:pStyle w:val="6"/>
            </w:pPr>
          </w:p>
        </w:tc>
        <w:tc>
          <w:tcPr>
            <w:tcW w:w="2478" w:type="dxa"/>
            <w:vAlign w:val="top"/>
          </w:tcPr>
          <w:p>
            <w:pPr>
              <w:pStyle w:val="6"/>
            </w:pPr>
          </w:p>
        </w:tc>
        <w:tc>
          <w:tcPr>
            <w:tcW w:w="2388" w:type="dxa"/>
            <w:vAlign w:val="top"/>
          </w:tcPr>
          <w:p>
            <w:pPr>
              <w:pStyle w:val="6"/>
            </w:pPr>
          </w:p>
        </w:tc>
        <w:tc>
          <w:tcPr>
            <w:tcW w:w="236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84" w:type="dxa"/>
            <w:vAlign w:val="top"/>
          </w:tcPr>
          <w:p>
            <w:pPr>
              <w:pStyle w:val="6"/>
            </w:pPr>
          </w:p>
        </w:tc>
        <w:tc>
          <w:tcPr>
            <w:tcW w:w="1969" w:type="dxa"/>
            <w:vAlign w:val="top"/>
          </w:tcPr>
          <w:p>
            <w:pPr>
              <w:pStyle w:val="6"/>
            </w:pPr>
          </w:p>
        </w:tc>
        <w:tc>
          <w:tcPr>
            <w:tcW w:w="1969" w:type="dxa"/>
            <w:vAlign w:val="top"/>
          </w:tcPr>
          <w:p>
            <w:pPr>
              <w:pStyle w:val="6"/>
            </w:pPr>
          </w:p>
        </w:tc>
        <w:tc>
          <w:tcPr>
            <w:tcW w:w="1589" w:type="dxa"/>
            <w:vAlign w:val="top"/>
          </w:tcPr>
          <w:p>
            <w:pPr>
              <w:pStyle w:val="6"/>
            </w:pPr>
          </w:p>
        </w:tc>
        <w:tc>
          <w:tcPr>
            <w:tcW w:w="2478" w:type="dxa"/>
            <w:vAlign w:val="top"/>
          </w:tcPr>
          <w:p>
            <w:pPr>
              <w:pStyle w:val="6"/>
            </w:pPr>
          </w:p>
        </w:tc>
        <w:tc>
          <w:tcPr>
            <w:tcW w:w="2388" w:type="dxa"/>
            <w:vAlign w:val="top"/>
          </w:tcPr>
          <w:p>
            <w:pPr>
              <w:pStyle w:val="6"/>
            </w:pPr>
          </w:p>
        </w:tc>
        <w:tc>
          <w:tcPr>
            <w:tcW w:w="236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84" w:type="dxa"/>
            <w:vAlign w:val="top"/>
          </w:tcPr>
          <w:p>
            <w:pPr>
              <w:pStyle w:val="6"/>
            </w:pPr>
          </w:p>
        </w:tc>
        <w:tc>
          <w:tcPr>
            <w:tcW w:w="1969" w:type="dxa"/>
            <w:vAlign w:val="top"/>
          </w:tcPr>
          <w:p>
            <w:pPr>
              <w:pStyle w:val="6"/>
            </w:pPr>
          </w:p>
        </w:tc>
        <w:tc>
          <w:tcPr>
            <w:tcW w:w="1969" w:type="dxa"/>
            <w:vAlign w:val="top"/>
          </w:tcPr>
          <w:p>
            <w:pPr>
              <w:pStyle w:val="6"/>
            </w:pPr>
          </w:p>
        </w:tc>
        <w:tc>
          <w:tcPr>
            <w:tcW w:w="1589" w:type="dxa"/>
            <w:vAlign w:val="top"/>
          </w:tcPr>
          <w:p>
            <w:pPr>
              <w:pStyle w:val="6"/>
            </w:pPr>
          </w:p>
        </w:tc>
        <w:tc>
          <w:tcPr>
            <w:tcW w:w="2478" w:type="dxa"/>
            <w:vAlign w:val="top"/>
          </w:tcPr>
          <w:p>
            <w:pPr>
              <w:pStyle w:val="6"/>
            </w:pPr>
          </w:p>
        </w:tc>
        <w:tc>
          <w:tcPr>
            <w:tcW w:w="2388" w:type="dxa"/>
            <w:vAlign w:val="top"/>
          </w:tcPr>
          <w:p>
            <w:pPr>
              <w:pStyle w:val="6"/>
            </w:pPr>
          </w:p>
        </w:tc>
        <w:tc>
          <w:tcPr>
            <w:tcW w:w="236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84" w:type="dxa"/>
            <w:vAlign w:val="top"/>
          </w:tcPr>
          <w:p>
            <w:pPr>
              <w:spacing w:before="201" w:line="221" w:lineRule="auto"/>
              <w:ind w:left="2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合计</w:t>
            </w:r>
          </w:p>
        </w:tc>
        <w:tc>
          <w:tcPr>
            <w:tcW w:w="1969" w:type="dxa"/>
            <w:vAlign w:val="top"/>
          </w:tcPr>
          <w:p>
            <w:pPr>
              <w:pStyle w:val="6"/>
            </w:pPr>
          </w:p>
        </w:tc>
        <w:tc>
          <w:tcPr>
            <w:tcW w:w="1969" w:type="dxa"/>
            <w:vAlign w:val="top"/>
          </w:tcPr>
          <w:p>
            <w:pPr>
              <w:pStyle w:val="6"/>
            </w:pPr>
          </w:p>
        </w:tc>
        <w:tc>
          <w:tcPr>
            <w:tcW w:w="1589" w:type="dxa"/>
            <w:vAlign w:val="top"/>
          </w:tcPr>
          <w:p>
            <w:pPr>
              <w:pStyle w:val="6"/>
            </w:pPr>
          </w:p>
        </w:tc>
        <w:tc>
          <w:tcPr>
            <w:tcW w:w="2478" w:type="dxa"/>
            <w:vAlign w:val="top"/>
          </w:tcPr>
          <w:p>
            <w:pPr>
              <w:pStyle w:val="6"/>
            </w:pPr>
          </w:p>
        </w:tc>
        <w:tc>
          <w:tcPr>
            <w:tcW w:w="2388" w:type="dxa"/>
            <w:vAlign w:val="top"/>
          </w:tcPr>
          <w:p>
            <w:pPr>
              <w:pStyle w:val="6"/>
            </w:pPr>
          </w:p>
        </w:tc>
        <w:tc>
          <w:tcPr>
            <w:tcW w:w="2363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0" w:h="11920"/>
          <w:pgMar w:top="1013" w:right="1744" w:bottom="400" w:left="1335" w:header="0" w:footer="0" w:gutter="0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0" w:lineRule="exact"/>
      </w:pPr>
      <w:r>
        <w:drawing>
          <wp:inline distT="0" distB="0" distL="0" distR="0">
            <wp:extent cx="5518150" cy="12700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518174" cy="1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08" w:line="221" w:lineRule="auto"/>
        <w:ind w:left="349"/>
        <w:rPr>
          <w:sz w:val="26"/>
          <w:szCs w:val="26"/>
        </w:rPr>
      </w:pPr>
      <w:r>
        <w:rPr>
          <w:rFonts w:ascii="仿宋" w:hAnsi="仿宋" w:eastAsia="仿宋" w:cs="仿宋"/>
          <w:spacing w:val="25"/>
          <w:position w:val="1"/>
          <w:sz w:val="26"/>
          <w:szCs w:val="26"/>
        </w:rPr>
        <w:t xml:space="preserve">河北省卫生健康委办公室           </w:t>
      </w:r>
      <w:r>
        <w:rPr>
          <w:rFonts w:ascii="仿宋" w:hAnsi="仿宋" w:eastAsia="仿宋" w:cs="仿宋"/>
          <w:spacing w:val="24"/>
          <w:position w:val="1"/>
          <w:sz w:val="26"/>
          <w:szCs w:val="26"/>
        </w:rPr>
        <w:t xml:space="preserve">   </w:t>
      </w:r>
      <w:r>
        <w:rPr>
          <w:spacing w:val="24"/>
          <w:position w:val="-1"/>
          <w:sz w:val="26"/>
          <w:szCs w:val="26"/>
        </w:rPr>
        <w:t>2024年5月28日印发</w:t>
      </w:r>
    </w:p>
    <w:p>
      <w:pPr>
        <w:spacing w:before="30" w:line="20" w:lineRule="exact"/>
        <w:ind w:firstLine="10"/>
      </w:pPr>
      <w:r>
        <w:drawing>
          <wp:inline distT="0" distB="0" distL="0" distR="0">
            <wp:extent cx="5511800" cy="12700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511816" cy="1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20" w:h="16830"/>
      <w:pgMar w:top="1430" w:right="1549" w:bottom="400" w:left="168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Times New Toman">
    <w:altName w:val="Traditional Arabic"/>
    <w:panose1 w:val="02020603050405020304"/>
    <w:charset w:val="00"/>
    <w:family w:val="modern"/>
    <w:pitch w:val="default"/>
    <w:sig w:usb0="00000000" w:usb1="00000000" w:usb2="00000008" w:usb3="00000000" w:csb0="000001F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Xingka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S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spacing w:line="176" w:lineRule="auto"/>
      <w:ind w:left="7790"/>
      <w:rPr>
        <w:sz w:val="26"/>
        <w:szCs w:val="26"/>
      </w:rPr>
    </w:pPr>
    <w:r>
      <w:rPr>
        <w:spacing w:val="-10"/>
        <w:sz w:val="26"/>
        <w:szCs w:val="26"/>
      </w:rPr>
      <w:t>—1—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173" w:lineRule="auto"/>
      <w:ind w:left="7409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8"/>
        <w:sz w:val="28"/>
        <w:szCs w:val="28"/>
      </w:rPr>
      <w:t>3</w:t>
    </w:r>
    <w:r>
      <w:rPr>
        <w:rFonts w:ascii="仿宋" w:hAnsi="仿宋" w:eastAsia="仿宋" w:cs="仿宋"/>
        <w:spacing w:val="135"/>
        <w:sz w:val="28"/>
        <w:szCs w:val="28"/>
      </w:rPr>
      <w:t xml:space="preserve"> </w:t>
    </w:r>
    <w:r>
      <w:rPr>
        <w:rFonts w:ascii="仿宋" w:hAnsi="仿宋" w:eastAsia="仿宋" w:cs="仿宋"/>
        <w:spacing w:val="-8"/>
        <w:sz w:val="28"/>
        <w:szCs w:val="28"/>
      </w:rPr>
      <w:t>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spacing w:line="176" w:lineRule="auto"/>
      <w:ind w:left="394"/>
      <w:rPr>
        <w:sz w:val="27"/>
        <w:szCs w:val="27"/>
      </w:rPr>
    </w:pPr>
    <w:r>
      <w:rPr>
        <w:spacing w:val="-6"/>
        <w:sz w:val="27"/>
        <w:szCs w:val="27"/>
      </w:rPr>
      <w:t>-</w:t>
    </w:r>
    <w:r>
      <w:rPr>
        <w:spacing w:val="17"/>
        <w:sz w:val="27"/>
        <w:szCs w:val="27"/>
      </w:rPr>
      <w:t xml:space="preserve">  </w:t>
    </w:r>
    <w:r>
      <w:rPr>
        <w:spacing w:val="-6"/>
        <w:sz w:val="27"/>
        <w:szCs w:val="27"/>
      </w:rPr>
      <w:t>4</w:t>
    </w:r>
    <w:r>
      <w:rPr>
        <w:spacing w:val="49"/>
        <w:sz w:val="27"/>
        <w:szCs w:val="27"/>
      </w:rPr>
      <w:t xml:space="preserve"> </w:t>
    </w:r>
    <w:r>
      <w:rPr>
        <w:spacing w:val="-6"/>
        <w:sz w:val="27"/>
        <w:szCs w:val="27"/>
      </w:rPr>
      <w:t>--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spacing w:line="175" w:lineRule="auto"/>
      <w:ind w:left="7000"/>
      <w:rPr>
        <w:sz w:val="28"/>
        <w:szCs w:val="28"/>
      </w:rPr>
    </w:pPr>
    <w:r>
      <w:rPr>
        <w:spacing w:val="-20"/>
        <w:w w:val="95"/>
        <w:sz w:val="28"/>
        <w:szCs w:val="28"/>
      </w:rPr>
      <w:t>—</w:t>
    </w:r>
    <w:r>
      <w:rPr>
        <w:spacing w:val="37"/>
        <w:sz w:val="28"/>
        <w:szCs w:val="28"/>
      </w:rPr>
      <w:t xml:space="preserve"> </w:t>
    </w:r>
    <w:r>
      <w:rPr>
        <w:spacing w:val="-20"/>
        <w:w w:val="95"/>
        <w:sz w:val="28"/>
        <w:szCs w:val="28"/>
      </w:rPr>
      <w:t>5</w:t>
    </w:r>
    <w:r>
      <w:rPr>
        <w:spacing w:val="127"/>
        <w:sz w:val="28"/>
        <w:szCs w:val="28"/>
      </w:rPr>
      <w:t xml:space="preserve"> </w:t>
    </w:r>
    <w:r>
      <w:rPr>
        <w:spacing w:val="-20"/>
        <w:w w:val="95"/>
        <w:sz w:val="28"/>
        <w:szCs w:val="28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173" w:lineRule="auto"/>
      <w:ind w:left="459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1"/>
        <w:w w:val="73"/>
        <w:sz w:val="28"/>
        <w:szCs w:val="28"/>
      </w:rPr>
      <w:t>—</w:t>
    </w:r>
    <w:r>
      <w:rPr>
        <w:rFonts w:ascii="仿宋" w:hAnsi="仿宋" w:eastAsia="仿宋" w:cs="仿宋"/>
        <w:spacing w:val="35"/>
        <w:sz w:val="28"/>
        <w:szCs w:val="28"/>
      </w:rPr>
      <w:t xml:space="preserve"> </w:t>
    </w:r>
    <w:r>
      <w:rPr>
        <w:rFonts w:ascii="仿宋" w:hAnsi="仿宋" w:eastAsia="仿宋" w:cs="仿宋"/>
        <w:spacing w:val="-6"/>
        <w:sz w:val="28"/>
        <w:szCs w:val="28"/>
      </w:rPr>
      <w:t>6</w:t>
    </w:r>
    <w:r>
      <w:rPr>
        <w:rFonts w:ascii="仿宋" w:hAnsi="仿宋" w:eastAsia="仿宋" w:cs="仿宋"/>
        <w:spacing w:val="1"/>
        <w:sz w:val="28"/>
        <w:szCs w:val="28"/>
      </w:rPr>
      <w:t xml:space="preserve">  </w:t>
    </w:r>
    <w:r>
      <w:rPr>
        <w:rFonts w:ascii="仿宋" w:hAnsi="仿宋" w:eastAsia="仿宋" w:cs="仿宋"/>
        <w:spacing w:val="-6"/>
        <w:sz w:val="28"/>
        <w:szCs w:val="28"/>
      </w:rPr>
      <w:t>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172" w:lineRule="auto"/>
      <w:ind w:left="6990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7"/>
        <w:sz w:val="28"/>
        <w:szCs w:val="28"/>
      </w:rPr>
      <w:t>—</w:t>
    </w:r>
    <w:r>
      <w:rPr>
        <w:rFonts w:ascii="仿宋" w:hAnsi="仿宋" w:eastAsia="仿宋" w:cs="仿宋"/>
        <w:spacing w:val="33"/>
        <w:sz w:val="28"/>
        <w:szCs w:val="28"/>
      </w:rPr>
      <w:t xml:space="preserve"> </w:t>
    </w:r>
    <w:r>
      <w:rPr>
        <w:rFonts w:ascii="仿宋" w:hAnsi="仿宋" w:eastAsia="仿宋" w:cs="仿宋"/>
        <w:spacing w:val="-17"/>
        <w:sz w:val="28"/>
        <w:szCs w:val="28"/>
      </w:rPr>
      <w:t>7</w:t>
    </w:r>
    <w:r>
      <w:rPr>
        <w:rFonts w:ascii="仿宋" w:hAnsi="仿宋" w:eastAsia="仿宋" w:cs="仿宋"/>
        <w:spacing w:val="97"/>
        <w:sz w:val="28"/>
        <w:szCs w:val="28"/>
      </w:rPr>
      <w:t xml:space="preserve"> </w:t>
    </w:r>
    <w:r>
      <w:rPr>
        <w:rFonts w:ascii="仿宋" w:hAnsi="仿宋" w:eastAsia="仿宋" w:cs="仿宋"/>
        <w:spacing w:val="-17"/>
        <w:sz w:val="28"/>
        <w:szCs w:val="28"/>
      </w:rPr>
      <w:t>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spacing w:before="1" w:line="174" w:lineRule="auto"/>
      <w:ind w:left="309"/>
      <w:rPr>
        <w:sz w:val="28"/>
        <w:szCs w:val="28"/>
      </w:rPr>
    </w:pPr>
    <w:r>
      <w:rPr>
        <w:spacing w:val="-11"/>
        <w:w w:val="73"/>
        <w:sz w:val="28"/>
        <w:szCs w:val="28"/>
      </w:rPr>
      <w:t>—</w:t>
    </w:r>
    <w:r>
      <w:rPr>
        <w:spacing w:val="35"/>
        <w:sz w:val="28"/>
        <w:szCs w:val="28"/>
      </w:rPr>
      <w:t xml:space="preserve"> </w:t>
    </w:r>
    <w:r>
      <w:rPr>
        <w:spacing w:val="-5"/>
        <w:sz w:val="28"/>
        <w:szCs w:val="28"/>
      </w:rPr>
      <w:t>8  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spacing w:line="174" w:lineRule="auto"/>
      <w:ind w:left="7010"/>
      <w:rPr>
        <w:sz w:val="24"/>
        <w:szCs w:val="24"/>
      </w:rPr>
    </w:pPr>
    <w:r>
      <w:rPr>
        <w:spacing w:val="-28"/>
        <w:sz w:val="24"/>
        <w:szCs w:val="24"/>
      </w:rPr>
      <w:t>—</w:t>
    </w:r>
    <w:r>
      <w:rPr>
        <w:spacing w:val="67"/>
        <w:sz w:val="24"/>
        <w:szCs w:val="24"/>
      </w:rPr>
      <w:t xml:space="preserve"> </w:t>
    </w:r>
    <w:r>
      <w:rPr>
        <w:spacing w:val="-28"/>
        <w:sz w:val="24"/>
        <w:szCs w:val="24"/>
      </w:rPr>
      <w:t>9  .—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spacing w:line="177" w:lineRule="auto"/>
      <w:ind w:left="269"/>
      <w:rPr>
        <w:sz w:val="28"/>
        <w:szCs w:val="28"/>
      </w:rPr>
    </w:pPr>
    <w:r>
      <w:rPr>
        <w:spacing w:val="-24"/>
        <w:sz w:val="28"/>
        <w:szCs w:val="28"/>
      </w:rPr>
      <w:t>—</w:t>
    </w:r>
    <w:r>
      <w:rPr>
        <w:spacing w:val="54"/>
        <w:sz w:val="28"/>
        <w:szCs w:val="28"/>
      </w:rPr>
      <w:t xml:space="preserve"> </w:t>
    </w:r>
    <w:r>
      <w:rPr>
        <w:spacing w:val="-24"/>
        <w:sz w:val="28"/>
        <w:szCs w:val="28"/>
      </w:rPr>
      <w:t>10</w:t>
    </w:r>
    <w:r>
      <w:rPr>
        <w:spacing w:val="131"/>
        <w:sz w:val="28"/>
        <w:szCs w:val="28"/>
      </w:rPr>
      <w:t xml:space="preserve"> </w:t>
    </w:r>
    <w:r>
      <w:rPr>
        <w:spacing w:val="-24"/>
        <w:sz w:val="28"/>
        <w:szCs w:val="28"/>
      </w:rPr>
      <w:t>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spacing w:before="1" w:line="177" w:lineRule="auto"/>
      <w:ind w:left="6840"/>
      <w:rPr>
        <w:sz w:val="32"/>
        <w:szCs w:val="32"/>
      </w:rPr>
    </w:pPr>
    <w:r>
      <w:rPr>
        <w:spacing w:val="-12"/>
        <w:w w:val="71"/>
        <w:sz w:val="32"/>
        <w:szCs w:val="32"/>
      </w:rPr>
      <w:t>—</w:t>
    </w:r>
    <w:r>
      <w:rPr>
        <w:spacing w:val="26"/>
        <w:sz w:val="32"/>
        <w:szCs w:val="32"/>
      </w:rPr>
      <w:t xml:space="preserve"> </w:t>
    </w:r>
    <w:r>
      <w:rPr>
        <w:spacing w:val="-13"/>
        <w:sz w:val="32"/>
        <w:szCs w:val="32"/>
      </w:rPr>
      <w:t>11</w:t>
    </w:r>
    <w:r>
      <w:rPr>
        <w:spacing w:val="86"/>
        <w:sz w:val="32"/>
        <w:szCs w:val="32"/>
      </w:rPr>
      <w:t xml:space="preserve"> </w:t>
    </w:r>
    <w:r>
      <w:rPr>
        <w:spacing w:val="-13"/>
        <w:sz w:val="32"/>
        <w:szCs w:val="32"/>
      </w:rPr>
      <w:t>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spacing w:line="177" w:lineRule="auto"/>
      <w:ind w:left="439"/>
      <w:rPr>
        <w:sz w:val="28"/>
        <w:szCs w:val="28"/>
      </w:rPr>
    </w:pPr>
    <w:r>
      <w:rPr>
        <w:spacing w:val="-27"/>
        <w:sz w:val="28"/>
        <w:szCs w:val="28"/>
      </w:rPr>
      <w:t>—</w:t>
    </w:r>
    <w:r>
      <w:rPr>
        <w:spacing w:val="35"/>
        <w:sz w:val="28"/>
        <w:szCs w:val="28"/>
      </w:rPr>
      <w:t xml:space="preserve"> </w:t>
    </w:r>
    <w:r>
      <w:rPr>
        <w:spacing w:val="-27"/>
        <w:sz w:val="28"/>
        <w:szCs w:val="28"/>
      </w:rPr>
      <w:t>12</w:t>
    </w:r>
    <w:r>
      <w:rPr>
        <w:spacing w:val="72"/>
        <w:sz w:val="28"/>
        <w:szCs w:val="28"/>
      </w:rPr>
      <w:t xml:space="preserve"> </w:t>
    </w:r>
    <w:r>
      <w:rPr>
        <w:spacing w:val="-27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173" w:lineRule="auto"/>
      <w:rPr>
        <w:rFonts w:ascii="仿宋" w:hAnsi="仿宋" w:eastAsia="仿宋" w:cs="仿宋"/>
        <w:sz w:val="27"/>
        <w:szCs w:val="27"/>
      </w:rPr>
    </w:pPr>
    <w:r>
      <w:rPr>
        <w:rFonts w:ascii="仿宋" w:hAnsi="仿宋" w:eastAsia="仿宋" w:cs="仿宋"/>
        <w:spacing w:val="-13"/>
        <w:sz w:val="27"/>
        <w:szCs w:val="27"/>
      </w:rPr>
      <w:t>—2—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spacing w:line="177" w:lineRule="auto"/>
      <w:ind w:left="6810"/>
      <w:rPr>
        <w:sz w:val="28"/>
        <w:szCs w:val="28"/>
      </w:rPr>
    </w:pPr>
    <w:r>
      <w:rPr>
        <w:spacing w:val="-11"/>
        <w:sz w:val="28"/>
        <w:szCs w:val="28"/>
      </w:rPr>
      <w:t>—</w:t>
    </w:r>
    <w:r>
      <w:rPr>
        <w:spacing w:val="51"/>
        <w:sz w:val="28"/>
        <w:szCs w:val="28"/>
      </w:rPr>
      <w:t xml:space="preserve"> </w:t>
    </w:r>
    <w:r>
      <w:rPr>
        <w:spacing w:val="-11"/>
        <w:sz w:val="28"/>
        <w:szCs w:val="28"/>
      </w:rPr>
      <w:t>13</w:t>
    </w:r>
    <w:r>
      <w:rPr>
        <w:spacing w:val="42"/>
        <w:sz w:val="28"/>
        <w:szCs w:val="28"/>
      </w:rPr>
      <w:t xml:space="preserve"> </w:t>
    </w:r>
    <w:r>
      <w:rPr>
        <w:spacing w:val="-11"/>
        <w:sz w:val="28"/>
        <w:szCs w:val="28"/>
      </w:rPr>
      <w:t>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spacing w:line="174" w:lineRule="auto"/>
      <w:ind w:left="259"/>
      <w:rPr>
        <w:sz w:val="28"/>
        <w:szCs w:val="28"/>
      </w:rPr>
    </w:pPr>
    <w:r>
      <w:rPr>
        <w:spacing w:val="-14"/>
        <w:sz w:val="28"/>
        <w:szCs w:val="28"/>
      </w:rPr>
      <w:t>—</w:t>
    </w:r>
    <w:r>
      <w:rPr>
        <w:spacing w:val="53"/>
        <w:sz w:val="28"/>
        <w:szCs w:val="28"/>
      </w:rPr>
      <w:t xml:space="preserve"> </w:t>
    </w:r>
    <w:r>
      <w:rPr>
        <w:spacing w:val="-14"/>
        <w:sz w:val="28"/>
        <w:szCs w:val="28"/>
      </w:rPr>
      <w:t>14  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spacing w:line="231" w:lineRule="auto"/>
      <w:ind w:left="6880"/>
      <w:rPr>
        <w:sz w:val="22"/>
        <w:szCs w:val="22"/>
      </w:rPr>
    </w:pPr>
    <w:r>
      <w:rPr>
        <w:spacing w:val="-25"/>
        <w:sz w:val="22"/>
        <w:szCs w:val="22"/>
      </w:rPr>
      <w:t>—</w:t>
    </w:r>
    <w:r>
      <w:rPr>
        <w:spacing w:val="66"/>
        <w:sz w:val="22"/>
        <w:szCs w:val="22"/>
      </w:rPr>
      <w:t xml:space="preserve"> </w:t>
    </w:r>
    <w:r>
      <w:rPr>
        <w:spacing w:val="-25"/>
        <w:sz w:val="22"/>
        <w:szCs w:val="22"/>
      </w:rPr>
      <w:t>15</w:t>
    </w:r>
    <w:r>
      <w:rPr>
        <w:spacing w:val="7"/>
        <w:sz w:val="22"/>
        <w:szCs w:val="22"/>
      </w:rPr>
      <w:t xml:space="preserve">  </w:t>
    </w:r>
    <w:r>
      <w:rPr>
        <w:spacing w:val="-25"/>
        <w:sz w:val="22"/>
        <w:szCs w:val="22"/>
      </w:rPr>
      <w:t>……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spacing w:line="176" w:lineRule="auto"/>
      <w:ind w:left="750"/>
      <w:rPr>
        <w:sz w:val="26"/>
        <w:szCs w:val="26"/>
      </w:rPr>
    </w:pPr>
    <w:r>
      <w:rPr>
        <w:spacing w:val="-10"/>
        <w:sz w:val="26"/>
        <w:szCs w:val="26"/>
      </w:rPr>
      <w:t>16</w:t>
    </w:r>
    <w:r>
      <w:rPr>
        <w:spacing w:val="29"/>
        <w:sz w:val="26"/>
        <w:szCs w:val="26"/>
      </w:rPr>
      <w:t xml:space="preserve">  </w:t>
    </w:r>
    <w:r>
      <w:rPr>
        <w:spacing w:val="-10"/>
        <w:sz w:val="26"/>
        <w:szCs w:val="26"/>
      </w:rPr>
      <w:t>-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spacing w:line="176" w:lineRule="auto"/>
      <w:ind w:left="7640"/>
      <w:rPr>
        <w:sz w:val="27"/>
        <w:szCs w:val="27"/>
      </w:rPr>
    </w:pPr>
    <w:r>
      <w:rPr>
        <w:spacing w:val="-19"/>
        <w:sz w:val="27"/>
        <w:szCs w:val="27"/>
      </w:rPr>
      <w:t>—3—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spacing w:before="1" w:line="175" w:lineRule="auto"/>
      <w:rPr>
        <w:sz w:val="26"/>
        <w:szCs w:val="26"/>
      </w:rPr>
    </w:pPr>
    <w:r>
      <w:rPr>
        <w:spacing w:val="-14"/>
        <w:w w:val="98"/>
        <w:sz w:val="26"/>
        <w:szCs w:val="26"/>
      </w:rPr>
      <w:t>—4—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spacing w:before="1" w:line="174" w:lineRule="auto"/>
      <w:ind w:left="7629"/>
      <w:rPr>
        <w:sz w:val="27"/>
        <w:szCs w:val="27"/>
      </w:rPr>
    </w:pPr>
    <w:r>
      <w:rPr>
        <w:spacing w:val="-15"/>
        <w:sz w:val="27"/>
        <w:szCs w:val="27"/>
      </w:rPr>
      <w:t>—5—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spacing w:line="176" w:lineRule="auto"/>
      <w:rPr>
        <w:sz w:val="27"/>
        <w:szCs w:val="27"/>
      </w:rPr>
    </w:pPr>
    <w:r>
      <w:rPr>
        <w:spacing w:val="-13"/>
        <w:sz w:val="27"/>
        <w:szCs w:val="27"/>
      </w:rPr>
      <w:t>—6—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spacing w:line="175" w:lineRule="auto"/>
      <w:jc w:val="right"/>
      <w:rPr>
        <w:sz w:val="30"/>
        <w:szCs w:val="30"/>
      </w:rPr>
    </w:pPr>
    <w:r>
      <w:rPr>
        <w:spacing w:val="-23"/>
        <w:w w:val="84"/>
        <w:sz w:val="30"/>
        <w:szCs w:val="30"/>
      </w:rPr>
      <w:t>—</w:t>
    </w:r>
    <w:r>
      <w:rPr>
        <w:spacing w:val="-22"/>
        <w:w w:val="84"/>
        <w:sz w:val="30"/>
        <w:szCs w:val="30"/>
      </w:rPr>
      <w:t>7</w:t>
    </w:r>
    <w:r>
      <w:rPr>
        <w:spacing w:val="-9"/>
        <w:w w:val="84"/>
        <w:sz w:val="30"/>
        <w:szCs w:val="30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49" w:lineRule="exact"/>
      <w:rPr>
        <w:rFonts w:ascii="Arial"/>
        <w:sz w:val="4"/>
      </w:rPr>
    </w:pPr>
    <w:r>
      <w:pict>
        <v:rect id="_x0000_s2049" o:spid="_x0000_s2049" o:spt="1" style="position:absolute;left:0pt;margin-left:65.95pt;margin-top:784.5pt;height:3pt;width:460.55pt;mso-position-horizontal-relative:page;mso-position-vertical-relative:page;z-index:251658240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spacing w:line="176" w:lineRule="auto"/>
      <w:ind w:left="521"/>
      <w:rPr>
        <w:sz w:val="28"/>
        <w:szCs w:val="28"/>
      </w:rPr>
    </w:pPr>
    <w:r>
      <w:rPr>
        <w:spacing w:val="-8"/>
        <w:sz w:val="28"/>
        <w:szCs w:val="28"/>
      </w:rPr>
      <w:t>2</w:t>
    </w:r>
    <w:r>
      <w:rPr>
        <w:spacing w:val="125"/>
        <w:sz w:val="28"/>
        <w:szCs w:val="28"/>
      </w:rPr>
      <w:t xml:space="preserve"> </w:t>
    </w:r>
    <w:r>
      <w:rPr>
        <w:spacing w:val="-8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compat>
    <w:spaceForUL/>
    <w:ulTrailSpace/>
    <w:useFELayout/>
    <w:compatSetting w:name="compatibilityMode" w:uri="http://schemas.microsoft.com/office/word" w:val="14"/>
  </w:compat>
  <w:rsids>
    <w:rsidRoot w:val="00000000"/>
    <w:rsid w:val="51736E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64"/>
      <w:szCs w:val="64"/>
      <w:lang w:val="en-US" w:eastAsia="en-US" w:bidi="ar-SA"/>
    </w:rPr>
  </w:style>
  <w:style w:type="table" w:customStyle="1" w:styleId="5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7" Type="http://schemas.openxmlformats.org/officeDocument/2006/relationships/fontTable" Target="fontTable.xml"/><Relationship Id="rId36" Type="http://schemas.openxmlformats.org/officeDocument/2006/relationships/customXml" Target="../customXml/item1.xml"/><Relationship Id="rId35" Type="http://schemas.openxmlformats.org/officeDocument/2006/relationships/image" Target="media/image8.jpeg"/><Relationship Id="rId34" Type="http://schemas.openxmlformats.org/officeDocument/2006/relationships/image" Target="media/image7.jpeg"/><Relationship Id="rId33" Type="http://schemas.openxmlformats.org/officeDocument/2006/relationships/image" Target="media/image6.png"/><Relationship Id="rId32" Type="http://schemas.openxmlformats.org/officeDocument/2006/relationships/image" Target="media/image5.png"/><Relationship Id="rId31" Type="http://schemas.openxmlformats.org/officeDocument/2006/relationships/image" Target="media/image4.png"/><Relationship Id="rId30" Type="http://schemas.openxmlformats.org/officeDocument/2006/relationships/image" Target="media/image3.jpeg"/><Relationship Id="rId3" Type="http://schemas.openxmlformats.org/officeDocument/2006/relationships/footer" Target="footer1.xml"/><Relationship Id="rId29" Type="http://schemas.openxmlformats.org/officeDocument/2006/relationships/image" Target="media/image2.jpeg"/><Relationship Id="rId28" Type="http://schemas.openxmlformats.org/officeDocument/2006/relationships/image" Target="media/image1.jpeg"/><Relationship Id="rId27" Type="http://schemas.openxmlformats.org/officeDocument/2006/relationships/theme" Target="theme/theme1.xml"/><Relationship Id="rId26" Type="http://schemas.openxmlformats.org/officeDocument/2006/relationships/footer" Target="footer24.xml"/><Relationship Id="rId25" Type="http://schemas.openxmlformats.org/officeDocument/2006/relationships/footer" Target="footer23.xml"/><Relationship Id="rId24" Type="http://schemas.openxmlformats.org/officeDocument/2006/relationships/footer" Target="footer22.xml"/><Relationship Id="rId23" Type="http://schemas.openxmlformats.org/officeDocument/2006/relationships/footer" Target="footer21.xml"/><Relationship Id="rId22" Type="http://schemas.openxmlformats.org/officeDocument/2006/relationships/footer" Target="footer20.xml"/><Relationship Id="rId21" Type="http://schemas.openxmlformats.org/officeDocument/2006/relationships/footer" Target="footer19.xml"/><Relationship Id="rId20" Type="http://schemas.openxmlformats.org/officeDocument/2006/relationships/footer" Target="footer18.xml"/><Relationship Id="rId2" Type="http://schemas.openxmlformats.org/officeDocument/2006/relationships/settings" Target="settings.xml"/><Relationship Id="rId19" Type="http://schemas.openxmlformats.org/officeDocument/2006/relationships/footer" Target="footer17.xml"/><Relationship Id="rId18" Type="http://schemas.openxmlformats.org/officeDocument/2006/relationships/footer" Target="footer16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2024-05-30T11:27:00Z</dcterms:created>
  <dc:creator>Administrator</dc:creator>
  <cp:lastModifiedBy>Administrator</cp:lastModifiedBy>
  <dcterms:modified xsi:type="dcterms:W3CDTF">2024-05-30T06:48:33Z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2024-05-30T11:27:10Z</vt:filetime>
  </property>
  <property fmtid="{D5CDD505-2E9C-101B-9397-08002B2CF9AE}" pid="4" name="UsrData">
    <vt:lpwstr>6657f2063c2097002083bd27wl</vt:lpwstr>
  </property>
  <property fmtid="{D5CDD505-2E9C-101B-9397-08002B2CF9AE}" pid="5" name="KSOProductBuildVer">
    <vt:lpwstr>2052-10.8.0.5391</vt:lpwstr>
  </property>
</Properties>
</file>