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2024年度安全生产“双随机”监督检查工作安排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1788"/>
        <w:gridCol w:w="1788"/>
        <w:gridCol w:w="1788"/>
        <w:gridCol w:w="1788"/>
        <w:gridCol w:w="1788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left="241" w:hanging="241" w:hanging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处（局）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ind w:left="239" w:leftChars="114"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安全生产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执法局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安全监督处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工贸处联合市场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监督管理部门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宣传训练处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二季度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2家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5家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三季度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3家</w:t>
            </w: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3家</w:t>
            </w: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8家</w:t>
            </w: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20家</w:t>
            </w:r>
          </w:p>
        </w:tc>
      </w:tr>
    </w:tbl>
    <w:p>
      <w:pPr>
        <w:tabs>
          <w:tab w:val="left" w:pos="7560"/>
        </w:tabs>
        <w:spacing w:line="620" w:lineRule="exact"/>
        <w:ind w:firstLine="4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说明：上</w:t>
      </w:r>
      <w:r>
        <w:rPr>
          <w:rFonts w:hint="eastAsia" w:ascii="宋体" w:hAnsi="宋体" w:eastAsia="宋体" w:cs="宋体"/>
          <w:i w:val="0"/>
          <w:color w:val="000000"/>
          <w:spacing w:val="-6"/>
          <w:kern w:val="0"/>
          <w:sz w:val="22"/>
          <w:szCs w:val="22"/>
          <w:u w:val="none"/>
          <w:lang w:val="en-US" w:eastAsia="zh-CN" w:bidi="ar"/>
        </w:rPr>
        <w:t>述检查安排遇到其他工作冲突，如不能按时完成，应及时进行调整；每季度抽查对象调整数量超过20%，应经分管厅领导批准。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8E41992-37C3-4DE8-88E1-9493B14C5E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3612185-81A4-4CDE-A588-ADD9D052DAF7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BC50574E-552B-45D8-A9D4-082824950CC0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4" w:fontKey="{EB80AC8D-479F-4917-98FA-94D0FD5AF5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WNiYzJlNTk5ZmYwNzNiODk3MDAzZmE4MTRhYjYifQ=="/>
  </w:docVars>
  <w:rsids>
    <w:rsidRoot w:val="79CD10C1"/>
    <w:rsid w:val="79C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2024-04-29T09:45:00Z</dcterms:created>
  <dc:creator>媛my િ</dc:creator>
  <cp:lastModifiedBy>媛my િ</cp:lastModifiedBy>
  <dcterms:modified xsi:type="dcterms:W3CDTF">2024-04-29T09:45:40Z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59B844C07ADA4B739AC598C524735EAA_11</vt:lpwstr>
  </property>
</Properties>
</file>