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both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 xml:space="preserve">                 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福建省</w:t>
      </w:r>
      <w:r>
        <w:rPr>
          <w:rFonts w:hint="eastAsia" w:ascii="方正小标宋简体" w:hAnsi="华文中宋" w:eastAsia="方正小标宋简体"/>
          <w:sz w:val="44"/>
          <w:szCs w:val="44"/>
        </w:rPr>
        <w:t>食品经营许可现场核查表</w:t>
      </w:r>
    </w:p>
    <w:p>
      <w:pPr>
        <w:spacing w:after="156" w:afterLines="50" w:line="700" w:lineRule="exact"/>
        <w:ind w:firstLine="2891" w:firstLineChars="900"/>
        <w:rPr>
          <w:rFonts w:hint="eastAsia" w:ascii="宋体" w:hAnsi="宋体"/>
          <w:b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/>
          <w:sz w:val="32"/>
          <w:szCs w:val="32"/>
          <w:highlight w:val="none"/>
        </w:rPr>
        <w:t>（适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用：小型</w:t>
      </w:r>
      <w:r>
        <w:rPr>
          <w:rFonts w:hint="eastAsia" w:ascii="楷体" w:hAnsi="楷体" w:eastAsia="楷体"/>
          <w:sz w:val="32"/>
          <w:szCs w:val="32"/>
          <w:highlight w:val="none"/>
        </w:rPr>
        <w:t>餐馆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、饮品店、</w:t>
      </w:r>
      <w:r>
        <w:rPr>
          <w:rFonts w:hint="eastAsia" w:ascii="宋体" w:hAnsi="宋体" w:cs="宋体"/>
          <w:kern w:val="0"/>
          <w:sz w:val="30"/>
          <w:szCs w:val="30"/>
          <w:highlight w:val="none"/>
          <w:lang w:val="zh-CN" w:eastAsia="zh-CN"/>
        </w:rPr>
        <w:t>茶座、</w:t>
      </w:r>
      <w:r>
        <w:rPr>
          <w:rFonts w:hint="eastAsia" w:ascii="宋体" w:hAnsi="宋体" w:cs="宋体"/>
          <w:kern w:val="0"/>
          <w:sz w:val="30"/>
          <w:szCs w:val="30"/>
          <w:highlight w:val="none"/>
          <w:lang w:val="zh-CN"/>
        </w:rPr>
        <w:t>酒吧、咖啡厅</w:t>
      </w:r>
      <w:bookmarkStart w:id="0" w:name="_GoBack"/>
      <w:bookmarkEnd w:id="0"/>
      <w:r>
        <w:rPr>
          <w:rFonts w:hint="eastAsia" w:ascii="楷体" w:hAnsi="楷体" w:eastAsia="楷体"/>
          <w:sz w:val="32"/>
          <w:szCs w:val="32"/>
          <w:highlight w:val="none"/>
        </w:rPr>
        <w:t>）</w:t>
      </w:r>
      <w:r>
        <w:rPr>
          <w:rFonts w:hint="eastAsia" w:ascii="宋体" w:hAnsi="宋体"/>
          <w:b/>
          <w:szCs w:val="32"/>
          <w:lang w:val="en-US" w:eastAsia="zh-CN"/>
        </w:rPr>
        <w:t xml:space="preserve">                 </w:t>
      </w:r>
    </w:p>
    <w:p>
      <w:pPr>
        <w:spacing w:after="156" w:afterLines="50" w:line="700" w:lineRule="exact"/>
        <w:ind w:firstLine="2891" w:firstLineChars="900"/>
        <w:rPr>
          <w:rFonts w:hint="eastAsia" w:ascii="宋体" w:hAnsi="宋体"/>
          <w:szCs w:val="32"/>
          <w:u w:val="single"/>
        </w:rPr>
      </w:pPr>
      <w:r>
        <w:rPr>
          <w:rFonts w:hint="eastAsia" w:ascii="宋体" w:hAnsi="宋体"/>
          <w:b/>
          <w:szCs w:val="32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Cs w:val="32"/>
        </w:rPr>
        <w:t>单位名称</w:t>
      </w:r>
      <w:r>
        <w:rPr>
          <w:rFonts w:hint="eastAsia" w:ascii="宋体" w:hAnsi="宋体"/>
          <w:szCs w:val="32"/>
        </w:rPr>
        <w:t>：</w:t>
      </w:r>
      <w:r>
        <w:rPr>
          <w:rFonts w:hint="eastAsia" w:ascii="宋体" w:hAnsi="宋体"/>
          <w:szCs w:val="32"/>
          <w:u w:val="single"/>
        </w:rPr>
        <w:t xml:space="preserve">                                      </w:t>
      </w:r>
    </w:p>
    <w:p>
      <w:pPr>
        <w:spacing w:after="156" w:afterLines="50" w:line="700" w:lineRule="exact"/>
        <w:ind w:firstLine="2891" w:firstLineChars="900"/>
        <w:rPr>
          <w:rFonts w:hint="eastAsia" w:ascii="宋体" w:hAnsi="宋体"/>
          <w:szCs w:val="32"/>
          <w:u w:val="single"/>
        </w:rPr>
      </w:pPr>
      <w:r>
        <w:rPr>
          <w:rFonts w:hint="eastAsia" w:ascii="宋体" w:hAnsi="宋体"/>
          <w:b/>
          <w:szCs w:val="32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Cs w:val="32"/>
        </w:rPr>
        <w:t>地    址</w:t>
      </w:r>
      <w:r>
        <w:rPr>
          <w:rFonts w:hint="eastAsia" w:ascii="宋体" w:hAnsi="宋体"/>
          <w:szCs w:val="32"/>
        </w:rPr>
        <w:t>：</w:t>
      </w:r>
      <w:r>
        <w:rPr>
          <w:rFonts w:hint="eastAsia" w:ascii="宋体" w:hAnsi="宋体"/>
          <w:szCs w:val="32"/>
          <w:u w:val="single"/>
        </w:rPr>
        <w:t xml:space="preserve">                                      </w:t>
      </w:r>
    </w:p>
    <w:p>
      <w:pPr>
        <w:spacing w:after="156" w:afterLines="50" w:line="700" w:lineRule="exact"/>
        <w:ind w:firstLine="2891" w:firstLineChars="900"/>
        <w:rPr>
          <w:rFonts w:hint="eastAsia" w:ascii="宋体" w:hAnsi="宋体"/>
          <w:szCs w:val="32"/>
          <w:u w:val="single"/>
        </w:rPr>
      </w:pPr>
      <w:r>
        <w:rPr>
          <w:rFonts w:hint="eastAsia" w:ascii="宋体" w:hAnsi="宋体"/>
          <w:b/>
          <w:szCs w:val="32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Cs w:val="32"/>
        </w:rPr>
        <w:t>核查日期</w:t>
      </w:r>
      <w:r>
        <w:rPr>
          <w:rFonts w:hint="eastAsia" w:ascii="宋体" w:hAnsi="宋体"/>
          <w:szCs w:val="32"/>
        </w:rPr>
        <w:t>：</w:t>
      </w:r>
      <w:r>
        <w:rPr>
          <w:rFonts w:hint="eastAsia" w:ascii="宋体" w:hAnsi="宋体"/>
          <w:szCs w:val="32"/>
          <w:u w:val="single"/>
        </w:rPr>
        <w:t xml:space="preserve">                                      </w:t>
      </w:r>
    </w:p>
    <w:p>
      <w:pPr>
        <w:spacing w:line="580" w:lineRule="exact"/>
        <w:rPr>
          <w:rFonts w:hint="eastAsia" w:ascii="宋体" w:hAnsi="宋体"/>
          <w:b/>
          <w:color w:val="008000"/>
          <w:szCs w:val="32"/>
        </w:rPr>
      </w:pPr>
    </w:p>
    <w:p>
      <w:pPr>
        <w:spacing w:line="580" w:lineRule="exact"/>
        <w:ind w:firstLine="452" w:firstLineChars="1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0"/>
        </w:rPr>
        <w:t>主体类别</w:t>
      </w:r>
      <w:r>
        <w:rPr>
          <w:rFonts w:hint="eastAsia" w:ascii="宋体" w:hAnsi="宋体"/>
          <w:sz w:val="30"/>
          <w:szCs w:val="30"/>
        </w:rPr>
        <w:t>：；</w:t>
      </w:r>
      <w:r>
        <w:rPr>
          <w:rFonts w:hint="eastAsia" w:ascii="宋体" w:hAnsi="宋体" w:cs="宋体"/>
          <w:kern w:val="0"/>
          <w:sz w:val="30"/>
          <w:szCs w:val="30"/>
          <w:lang w:val="zh-CN"/>
        </w:rPr>
        <w:t>□小型</w:t>
      </w:r>
      <w:r>
        <w:rPr>
          <w:rFonts w:hint="eastAsia" w:ascii="宋体" w:hAnsi="宋体"/>
          <w:sz w:val="30"/>
          <w:szCs w:val="30"/>
        </w:rPr>
        <w:t>餐馆；</w:t>
      </w:r>
    </w:p>
    <w:p>
      <w:pPr>
        <w:numPr>
          <w:numId w:val="0"/>
        </w:numPr>
        <w:spacing w:line="580" w:lineRule="exact"/>
        <w:ind w:firstLine="452" w:firstLineChars="150"/>
        <w:rPr>
          <w:rFonts w:hint="eastAsia" w:ascii="宋体" w:hAnsi="宋体" w:cs="宋体"/>
          <w:kern w:val="0"/>
          <w:sz w:val="30"/>
          <w:szCs w:val="30"/>
          <w:lang w:val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0"/>
        </w:rPr>
        <w:t>经营项目</w:t>
      </w:r>
      <w:r>
        <w:rPr>
          <w:rFonts w:hint="eastAsia" w:ascii="宋体" w:hAnsi="宋体"/>
          <w:sz w:val="30"/>
          <w:szCs w:val="30"/>
        </w:rPr>
        <w:t>：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30"/>
          <w:szCs w:val="30"/>
          <w:lang w:val="zh-CN"/>
        </w:rPr>
        <w:t>□热食类食品制售；□冷食类食品制售</w:t>
      </w:r>
      <w:r>
        <w:rPr>
          <w:rFonts w:hint="eastAsia" w:ascii="仿宋" w:hAnsi="仿宋" w:cs="宋体"/>
          <w:kern w:val="0"/>
          <w:sz w:val="30"/>
          <w:szCs w:val="30"/>
          <w:lang w:val="zh-CN"/>
        </w:rPr>
        <w:t>（</w:t>
      </w:r>
      <w:r>
        <w:rPr>
          <w:rFonts w:hint="eastAsia" w:ascii="宋体" w:hAnsi="宋体" w:cs="宋体"/>
          <w:kern w:val="0"/>
          <w:sz w:val="30"/>
          <w:szCs w:val="30"/>
          <w:lang w:val="zh-CN"/>
        </w:rPr>
        <w:t>□</w:t>
      </w:r>
      <w:r>
        <w:rPr>
          <w:rFonts w:hint="eastAsia" w:ascii="仿宋" w:hAnsi="仿宋" w:cs="宋体"/>
          <w:kern w:val="0"/>
          <w:sz w:val="30"/>
          <w:szCs w:val="30"/>
          <w:lang w:val="zh-CN"/>
        </w:rPr>
        <w:t>含烧卤熟肉）</w:t>
      </w:r>
      <w:r>
        <w:rPr>
          <w:rFonts w:hint="eastAsia" w:ascii="宋体" w:hAnsi="宋体" w:cs="宋体"/>
          <w:kern w:val="0"/>
          <w:sz w:val="30"/>
          <w:szCs w:val="30"/>
          <w:lang w:val="zh-CN"/>
        </w:rPr>
        <w:t>；□生食类食品制售；</w:t>
      </w:r>
    </w:p>
    <w:p>
      <w:pPr>
        <w:numPr>
          <w:numId w:val="0"/>
        </w:numPr>
        <w:spacing w:line="580" w:lineRule="exact"/>
        <w:ind w:firstLine="452" w:firstLineChars="1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 xml:space="preserve">             </w:t>
      </w:r>
      <w:r>
        <w:rPr>
          <w:rFonts w:hint="eastAsia" w:ascii="宋体" w:hAnsi="宋体" w:cs="宋体"/>
          <w:kern w:val="0"/>
          <w:sz w:val="30"/>
          <w:szCs w:val="30"/>
          <w:lang w:val="zh-CN"/>
        </w:rPr>
        <w:t>□自制饮品制售；□糕点类食品制售；</w:t>
      </w: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 xml:space="preserve">            </w:t>
      </w:r>
    </w:p>
    <w:p>
      <w:pPr>
        <w:widowControl/>
        <w:wordWrap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wordWrap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wordWrap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wordWrap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tbl>
      <w:tblPr>
        <w:tblStyle w:val="6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8418"/>
        <w:gridCol w:w="492"/>
        <w:gridCol w:w="913"/>
        <w:gridCol w:w="596"/>
        <w:gridCol w:w="677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tblHeader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核查内容</w:t>
            </w:r>
          </w:p>
        </w:tc>
        <w:tc>
          <w:tcPr>
            <w:tcW w:w="8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核查和评价方法</w:t>
            </w:r>
          </w:p>
        </w:tc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编号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核查项目的重要性</w:t>
            </w:r>
          </w:p>
        </w:tc>
        <w:tc>
          <w:tcPr>
            <w:tcW w:w="2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2" w:hRule="atLeast"/>
          <w:tblHeader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符合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不符合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不适用（合理缺项）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 选址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经营场所地势干燥、有给排水条件和电力供应。距离粪坑、污水池、暴露垃圾场(站)、旱厕等污染源25m以上，并设置在粉尘、有害气体、放射性物质和其他扩散性污染源的影响范围之外；加工经营场所内不得圈养、宰杀活的禽畜类动物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 场所设置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布局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面积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napToGrid w:val="0"/>
              <w:spacing w:before="100" w:beforeAutospacing="1" w:line="24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食品处理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加工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面积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应与经营规模相适应的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粗加工、切配、烹调、餐用具清洗消毒、食品原料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清洁工具存放等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功能区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，食品加工处理各功能区均在室内，与售卖或就餐场所有明显间隔。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食品处理加工区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不得设置厕所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napToGrid w:val="0"/>
              <w:spacing w:before="100" w:beforeAutospacing="1" w:line="24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制作冷食类食品、生食类食品、裱花蛋糕应分别设置相应操作专间。现场制作糕点类食品、自制饮品和水果拼盘，设置相应的专用操作场所。其专间或专用场所按照经营类别、项目和规模符合分类要求。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现场仅拆封、调味，可在烹调加工场所或备餐、就餐场所进行。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>根据经营者的申请项目进行审核，未申请项目合理缺项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napToGrid w:val="0"/>
              <w:spacing w:line="24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提供快餐应有备餐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售菜专用场所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场所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应设置具有防尘、防蝇功能的带罩保温售菜台.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各加工操作场所按照原料进入、原料处理、半成品加工、成品供应的顺序合理布局，并能防止食品在存放、操作中产生交叉污染。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spacing w:line="122" w:lineRule="atLeast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  <w:p>
            <w:pPr>
              <w:widowControl/>
              <w:tabs>
                <w:tab w:val="left" w:pos="-288"/>
              </w:tabs>
              <w:wordWrap w:val="0"/>
              <w:spacing w:line="122" w:lineRule="atLeast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  <w:p>
            <w:pPr>
              <w:widowControl/>
              <w:wordWrap w:val="0"/>
              <w:spacing w:line="122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122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门、窗装配严密，与外界直接相通的门和可开启的窗设有防蝇纱网或设置空气幕。</w:t>
            </w:r>
          </w:p>
        </w:tc>
        <w:tc>
          <w:tcPr>
            <w:tcW w:w="49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spacing w:line="122" w:lineRule="atLeast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  <w:p>
            <w:pPr>
              <w:widowControl/>
              <w:wordWrap w:val="0"/>
              <w:spacing w:line="122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3．食品处理区灶台、地面、墙壁、天花板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灶台、水池应使用浅色瓷砖铺设或不锈钢等材料。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地面应硬化平整、采用无毒、无异味、不渗水，耐腐蚀、防滑的材料铺设。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墙面应用1.5m以上光滑、不吸水、耐用和易清洗的材料制成的墙裙。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天花板采用无毒、无异味、不吸水、表面光洁、耐腐蚀、耐温、浅色材料涂覆或装修。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4.通风排烟设施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烹调场所采用机械排风。产生油烟的设备上部加设附有机械排风及油烟过滤的排气装置，过滤器便于清洗和更换。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5.餐用具清洗消毒与保洁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napToGrid w:val="0"/>
              <w:spacing w:before="100" w:beforeAutospacing="1" w:line="240" w:lineRule="atLeas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配备满足化学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物理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消毒、清洗需要的专用设施，至少设置1个固定水池，其大小能满足需要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不足的可用容器替代，使用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容器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替代池子的要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明显标识表明其用途，不得混用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70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pacing w:before="100" w:beforeAutospacing="1" w:line="24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设专供存放消毒后餐用具的保洁设施，标记明显，结构应密闭，易于清洁。使用消毒柜消毒的，消毒柜可同时做保洁柜用途。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6.食品原料、清洁工具清洗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hd w:val="clear" w:color="auto" w:fill="FFFFFF"/>
              <w:snapToGrid w:val="0"/>
              <w:spacing w:before="100" w:beforeAutospacing="1" w:line="240" w:lineRule="atLeas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设置素菜和荤菜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专用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清洗池各1个固定水池，同时具有清洁工具清洗设施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7．食品添加剂使用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食品添加剂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应配备</w:t>
            </w:r>
            <w:r>
              <w:rPr>
                <w:rFonts w:hint="eastAsia" w:ascii="宋体" w:hAnsi="宋体"/>
                <w:sz w:val="24"/>
                <w:szCs w:val="24"/>
              </w:rPr>
              <w:t>专人</w:t>
            </w:r>
            <w:r>
              <w:rPr>
                <w:rFonts w:ascii="宋体" w:hAnsi="宋体"/>
                <w:sz w:val="24"/>
                <w:szCs w:val="24"/>
              </w:rPr>
              <w:t>采购、</w:t>
            </w:r>
            <w:r>
              <w:rPr>
                <w:rFonts w:hint="eastAsia" w:ascii="宋体" w:hAnsi="宋体"/>
                <w:sz w:val="24"/>
                <w:szCs w:val="24"/>
              </w:rPr>
              <w:t>专人保管、专人领用、专人登记、专柜保存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并配置计量工具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8. 加工用水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食品清洗、加工用水应符合GB5749—2006《生活饮用水卫生标准》规定。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自备水源应提供有资质的检测机构出具的水质检测合格报告。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接触直接入口食品（包括冷食类、生食类食品和自制饮品）的水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经过水净化设施处理或使用直接饮用水。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9. 库房和食品贮存</w:t>
            </w:r>
          </w:p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场所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应设置数量足够食品存放货柜（架），具有食品和非食品物品（导致食品污染物品除外）分区贮存的条件，食品贮存场所通风良好。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" w:hRule="atLeast"/>
          <w:jc w:val="center"/>
        </w:trPr>
        <w:tc>
          <w:tcPr>
            <w:tcW w:w="22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应设置冷藏、冷冻设备设施，且能满足原料、半成品和成品分开存放的需要。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10.冷食类专间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专间内无明沟，地漏带水封。食品传递窗为开闭式，其他窗封闭。专间门采用易清洗、不吸水的坚固材质，能够自动关闭。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spacing w:line="157" w:lineRule="atLeast"/>
              <w:ind w:left="132" w:hanging="132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-288"/>
              </w:tabs>
              <w:wordWrap w:val="0"/>
              <w:spacing w:line="157" w:lineRule="atLeast"/>
              <w:ind w:left="132" w:hanging="132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157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line="24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专间内设有独立的空调设施、工具清洗消毒设施、专用冷藏设施和专间面积相适应的空气消毒设施。专间内的废弃物容器盖子应当为非手动开启式。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spacing w:line="157" w:lineRule="atLeast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157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应当在专间入口处设置具有洗手、消毒、更衣设施，</w:t>
            </w:r>
            <w:r>
              <w:rPr>
                <w:rFonts w:hint="eastAsia" w:ascii="宋体" w:hAnsi="宋体"/>
                <w:sz w:val="24"/>
                <w:szCs w:val="24"/>
              </w:rPr>
              <w:t>洗手消毒设施符合本表第6点规定。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-288"/>
              </w:tabs>
              <w:wordWrap w:val="0"/>
              <w:spacing w:line="157" w:lineRule="atLeast"/>
              <w:ind w:left="132" w:hanging="13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157" w:lineRule="atLeas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22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生食类专间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专间内无明沟，地漏带水封。食品传递窗为开闭式，其他窗封闭。专间门采用易清洗、不吸水的坚固材质，能够自动关闭。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专间内设有独立的空调设施、工具清洗消毒设施、专用冷藏设施和专间面积相适应的空气消毒设施。专间内的废弃物容器盖子应当为非手动开启式。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应当在专间入口处设置具有洗手、消毒、更衣设施。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2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.裱花类糕点专间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zh-CN"/>
              </w:rPr>
              <w:t>专间内无明沟，地漏带水封。食品传递窗为开闭式，其他窗封闭。专间门采用易清洗、不吸水的坚固材质，能够自动关闭。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zh-CN"/>
              </w:rPr>
              <w:t xml:space="preserve">    专间内设有独立的空调设施、工具清洗消毒设施、专用冷藏设施和专间面积相适应的空气消毒设施。专间内的废弃物容器盖子应当为非手动开启式。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zh-CN"/>
              </w:rPr>
              <w:t xml:space="preserve">    应当在专间入口处设置具有洗手、消毒、更衣设施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22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.糕点类专用场所</w:t>
            </w: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zh-CN"/>
              </w:rPr>
              <w:t xml:space="preserve">    场所内无明沟，地漏带水封。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shd w:val="clear" w:color="auto" w:fill="FFFFFF"/>
              <w:spacing w:before="225" w:line="525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Cs w:val="24"/>
                <w:lang w:val="zh-CN"/>
              </w:rPr>
              <w:t xml:space="preserve">    设工具清洗消毒设施和专用冷藏设施。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shd w:val="clear" w:color="auto" w:fill="FFFFFF"/>
              <w:spacing w:before="225" w:line="525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Cs w:val="24"/>
                <w:lang w:val="zh-CN"/>
              </w:rPr>
              <w:t xml:space="preserve">    入口处设置洗手、消毒设施。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29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.自制饮品类专用场所</w:t>
            </w:r>
          </w:p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zh-CN"/>
              </w:rPr>
              <w:t xml:space="preserve">    场所内无明沟，地漏带水封。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shd w:val="clear" w:color="auto" w:fill="FFFFFF"/>
              <w:spacing w:before="225" w:line="525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Cs w:val="24"/>
                <w:lang w:val="zh-CN"/>
              </w:rPr>
              <w:t xml:space="preserve">    设工具清洗消毒设施和专用冷藏设施。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2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40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shd w:val="clear" w:color="auto" w:fill="FFFFFF"/>
              <w:spacing w:before="225" w:line="525" w:lineRule="atLeas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Cs w:val="24"/>
                <w:lang w:val="zh-CN"/>
              </w:rPr>
              <w:t xml:space="preserve">    入口处设置洗手、消毒设施。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</w:tabs>
              <w:ind w:left="420" w:leftChars="0" w:hanging="420" w:firstLineChars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***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474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核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查结果：核查项目总数     项，不符合项目总数     项，其中关键项     项，重点项     项，一般项     项。</w:t>
            </w:r>
          </w:p>
        </w:tc>
      </w:tr>
    </w:tbl>
    <w:p>
      <w:pPr>
        <w:spacing w:before="156" w:beforeLines="50" w:line="28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>注：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1．本表共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/>
          <w:sz w:val="21"/>
          <w:szCs w:val="21"/>
        </w:rPr>
        <w:t>项，其中关键项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/>
          <w:sz w:val="21"/>
          <w:szCs w:val="21"/>
        </w:rPr>
        <w:t>项，重点项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/>
          <w:sz w:val="21"/>
          <w:szCs w:val="21"/>
        </w:rPr>
        <w:t>项，一般项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sz w:val="21"/>
          <w:szCs w:val="21"/>
        </w:rPr>
        <w:t>项。***表示关键项，**为重点项，*为一般项；</w:t>
      </w:r>
    </w:p>
    <w:p>
      <w:pPr>
        <w:numPr>
          <w:numId w:val="0"/>
        </w:numPr>
        <w:spacing w:line="28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2.</w:t>
      </w:r>
      <w:r>
        <w:rPr>
          <w:rFonts w:hint="eastAsia" w:ascii="宋体" w:hAnsi="宋体" w:eastAsia="宋体"/>
          <w:sz w:val="21"/>
          <w:szCs w:val="21"/>
        </w:rPr>
        <w:t>项目中的内容如部分不符合，应作为不符合；</w:t>
      </w:r>
    </w:p>
    <w:p>
      <w:pPr>
        <w:numPr>
          <w:numId w:val="0"/>
        </w:numPr>
        <w:spacing w:line="2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3.</w:t>
      </w:r>
      <w:r>
        <w:rPr>
          <w:rFonts w:hint="eastAsia" w:ascii="宋体" w:hAnsi="宋体" w:eastAsia="宋体"/>
          <w:sz w:val="21"/>
          <w:szCs w:val="21"/>
        </w:rPr>
        <w:t>关键项允许不符合数为0项，重点项和一般项不符合总数≤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sz w:val="21"/>
          <w:szCs w:val="21"/>
        </w:rPr>
        <w:t>项，其中重点项不符合数≤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项</w:t>
      </w:r>
    </w:p>
    <w:p>
      <w:pPr>
        <w:spacing w:before="156" w:beforeLines="50" w:line="280" w:lineRule="exact"/>
        <w:ind w:firstLine="480" w:firstLineChars="200"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wordWrap w:val="0"/>
        <w:snapToGrid w:val="0"/>
        <w:spacing w:before="156" w:beforeLines="50"/>
        <w:ind w:left="840" w:hanging="840" w:hangingChars="350"/>
        <w:jc w:val="left"/>
        <w:rPr>
          <w:rFonts w:hint="eastAsia" w:ascii="宋体" w:hAnsi="宋体" w:cs="宋体"/>
          <w:kern w:val="0"/>
          <w:sz w:val="24"/>
          <w:szCs w:val="24"/>
        </w:rPr>
        <w:sectPr>
          <w:footerReference r:id="rId4" w:type="default"/>
          <w:footerReference r:id="rId5" w:type="even"/>
          <w:pgSz w:w="16838" w:h="11906" w:orient="landscape"/>
          <w:pgMar w:top="1797" w:right="1440" w:bottom="1797" w:left="1440" w:header="851" w:footer="992" w:gutter="0"/>
          <w:paperSrc w:first="0" w:other="0"/>
          <w:pgNumType w:fmt="numberInDash"/>
          <w:cols w:space="720" w:num="1"/>
          <w:rtlGutter w:val="0"/>
          <w:docGrid w:type="lines" w:linePitch="319" w:charSpace="0"/>
        </w:sectPr>
      </w:pPr>
    </w:p>
    <w:tbl>
      <w:tblPr>
        <w:tblStyle w:val="7"/>
        <w:tblW w:w="14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vAlign w:val="top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/>
                <w:b/>
                <w:szCs w:val="32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/>
                <w:b/>
                <w:sz w:val="44"/>
                <w:szCs w:val="44"/>
              </w:rPr>
            </w:pPr>
            <w:r>
              <w:rPr>
                <w:rFonts w:hint="eastAsia" w:ascii="宋体" w:hAnsi="宋体" w:eastAsia="宋体"/>
                <w:b/>
                <w:sz w:val="44"/>
                <w:szCs w:val="44"/>
              </w:rPr>
              <w:t>核查意见</w:t>
            </w:r>
          </w:p>
          <w:p>
            <w:pPr>
              <w:spacing w:after="312" w:afterLines="100" w:line="480" w:lineRule="auto"/>
              <w:ind w:leftChars="100"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局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（所）核查人员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、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根据《中华人民共和国食品安全法》等有关法律法规的规定，对该单位的食品经营场所进行了现场核查，核查意见如下：</w:t>
            </w:r>
          </w:p>
          <w:p>
            <w:pPr>
              <w:spacing w:after="312" w:afterLines="100" w:line="480" w:lineRule="auto"/>
              <w:ind w:leftChars="100"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□符合　    重点项和一般项不符合总数≤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8"/>
                <w:szCs w:val="28"/>
              </w:rPr>
              <w:t>项，其中重点项不符合数≤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项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after="312" w:afterLines="100" w:line="480" w:lineRule="auto"/>
              <w:ind w:leftChars="100"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□不符合     不符合现场核查要求，经营单位应对照核查内容和评价标准进行整改，整改完成后再行申请。</w:t>
            </w:r>
          </w:p>
          <w:p>
            <w:pPr>
              <w:spacing w:after="312" w:afterLines="100" w:line="480" w:lineRule="auto"/>
              <w:ind w:leftChars="100"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核查人员签字：              、                              年     月     日</w:t>
            </w:r>
          </w:p>
          <w:p>
            <w:pPr>
              <w:spacing w:after="312" w:afterLines="100" w:line="480" w:lineRule="auto"/>
              <w:ind w:leftChars="100" w:firstLine="56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食品经营单位负责人签字：                                    年     月     日</w:t>
            </w:r>
          </w:p>
          <w:p>
            <w:pPr>
              <w:spacing w:before="156" w:beforeLines="50" w:line="480" w:lineRule="auto"/>
              <w:ind w:leftChars="100" w:firstLine="480" w:firstLineChars="200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before="156" w:beforeLines="50" w:line="280" w:lineRule="exact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/>
                <w:b/>
                <w:szCs w:val="32"/>
              </w:rPr>
            </w:pPr>
          </w:p>
        </w:tc>
      </w:tr>
    </w:tbl>
    <w:p>
      <w:pPr>
        <w:spacing w:after="607" w:afterLines="100" w:line="360" w:lineRule="auto"/>
        <w:jc w:val="center"/>
      </w:pPr>
    </w:p>
    <w:sectPr>
      <w:footerReference r:id="rId6" w:type="default"/>
      <w:pgSz w:w="16838" w:h="11906" w:orient="landscape"/>
      <w:pgMar w:top="1803" w:right="1440" w:bottom="1803" w:left="1440" w:header="851" w:footer="992" w:gutter="0"/>
      <w:paperSrc w:first="0" w:oth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tabs>
        <w:tab w:val="center" w:pos="4153"/>
        <w:tab w:val="right" w:pos="8306"/>
        <w:tab w:val="clear" w:pos="4152"/>
      </w:tabs>
      <w:ind w:right="360"/>
      <w:jc w:val="center"/>
    </w:pPr>
    <w:r>
      <w:rPr>
        <w:rFonts w:hint="eastAsia"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3" o:spid="_x0000_s1025" style="position:absolute;left:0;margin-top:0pt;height:24.15pt;width:22.75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right" w:y="2"/>
      <w:tabs>
        <w:tab w:val="center" w:pos="4153"/>
        <w:tab w:val="right" w:pos="8306"/>
        <w:tab w:val="clear" w:pos="4152"/>
      </w:tabs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- 52 -</w:t>
    </w:r>
    <w:r>
      <w:fldChar w:fldCharType="end"/>
    </w:r>
  </w:p>
  <w:p>
    <w:pPr>
      <w:pStyle w:val="2"/>
      <w:tabs>
        <w:tab w:val="center" w:pos="4153"/>
        <w:tab w:val="right" w:pos="8306"/>
        <w:tab w:val="clear" w:pos="415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tabs>
        <w:tab w:val="center" w:pos="4153"/>
        <w:tab w:val="right" w:pos="8306"/>
        <w:tab w:val="clear" w:pos="4152"/>
      </w:tabs>
    </w:pPr>
    <w:r>
      <w:rPr>
        <w:rFonts w:hint="eastAsia"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6" o:spid="_x0000_s1026" style="position:absolute;left:0;margin-top:0pt;height:24.15pt;width:22.75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- 7 -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5324C39"/>
    <w:rsid w:val="04EE72A6"/>
    <w:rsid w:val="050339C8"/>
    <w:rsid w:val="05C9468B"/>
    <w:rsid w:val="06B93F93"/>
    <w:rsid w:val="06CE3F39"/>
    <w:rsid w:val="08F85B47"/>
    <w:rsid w:val="0CDE1C2A"/>
    <w:rsid w:val="1431122C"/>
    <w:rsid w:val="149A226E"/>
    <w:rsid w:val="17912212"/>
    <w:rsid w:val="18C96438"/>
    <w:rsid w:val="1A15645A"/>
    <w:rsid w:val="1A281966"/>
    <w:rsid w:val="1F340D56"/>
    <w:rsid w:val="22703D10"/>
    <w:rsid w:val="29870F2F"/>
    <w:rsid w:val="2F7F157A"/>
    <w:rsid w:val="32200849"/>
    <w:rsid w:val="36FB77C2"/>
    <w:rsid w:val="38F25597"/>
    <w:rsid w:val="3A705B70"/>
    <w:rsid w:val="3BFC4614"/>
    <w:rsid w:val="3FFC2AD1"/>
    <w:rsid w:val="40F35702"/>
    <w:rsid w:val="457F1079"/>
    <w:rsid w:val="47F46C1C"/>
    <w:rsid w:val="484F3AB2"/>
    <w:rsid w:val="4A9061E0"/>
    <w:rsid w:val="4ACF6FC9"/>
    <w:rsid w:val="4AEF1A7C"/>
    <w:rsid w:val="4D9644EA"/>
    <w:rsid w:val="4F3F6893"/>
    <w:rsid w:val="514733E5"/>
    <w:rsid w:val="520D572D"/>
    <w:rsid w:val="585B7755"/>
    <w:rsid w:val="5B7A08A2"/>
    <w:rsid w:val="5C867ADA"/>
    <w:rsid w:val="60033294"/>
    <w:rsid w:val="601879B6"/>
    <w:rsid w:val="63387553"/>
    <w:rsid w:val="63A47F08"/>
    <w:rsid w:val="65D07218"/>
    <w:rsid w:val="673335DC"/>
    <w:rsid w:val="70A05857"/>
    <w:rsid w:val="712325AD"/>
    <w:rsid w:val="712C30D5"/>
    <w:rsid w:val="737407F8"/>
    <w:rsid w:val="741D5A8B"/>
    <w:rsid w:val="75324C39"/>
    <w:rsid w:val="77602068"/>
    <w:rsid w:val="77977FC3"/>
    <w:rsid w:val="79C008CD"/>
    <w:rsid w:val="7A8A3819"/>
    <w:rsid w:val="7BDE2E46"/>
    <w:rsid w:val="7C7B6547"/>
    <w:rsid w:val="7E3D1A2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2"/>
        <w:tab w:val="center" w:pos="8306"/>
      </w:tabs>
      <w:jc w:val="left"/>
    </w:pPr>
    <w:rPr>
      <w:rFonts w:hint="eastAsia"/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qFormat/>
    <w:uiPriority w:val="0"/>
    <w:rPr/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2015-11-29T06:14:00Z</dcterms:created>
  <dc:creator>Administrator</dc:creator>
  <cp:lastModifiedBy>z</cp:lastModifiedBy>
  <cp:lastPrinted>2016-04-12T01:30:00Z</cp:lastPrinted>
  <dcterms:modified xsi:type="dcterms:W3CDTF">2016-04-13T09:06:45Z</dcterms:modified>
  <dc:title>                 福建省食品经营许可现场核查表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