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napToGrid/>
        <w:spacing w:beforeAutospacing="0" w:afterAutospacing="0" w:line="420" w:lineRule="exact"/>
        <w:ind w:left="0" w:leftChars="0" w:right="0" w:rightChars="0"/>
        <w:textAlignment w:val="auto"/>
        <w:rPr>
          <w:rFonts w:hint="eastAsia" w:ascii="仿宋" w:hAnsi="仿宋" w:eastAsia="仿宋" w:cs="仿宋"/>
          <w:b w:val="0"/>
          <w:bCs w:val="0"/>
          <w:color w:val="434343"/>
          <w:kern w:val="0"/>
          <w:sz w:val="32"/>
          <w:szCs w:val="32"/>
        </w:rPr>
      </w:pPr>
      <w:r>
        <w:rPr>
          <w:rFonts w:hint="eastAsia" w:ascii="仿宋" w:hAnsi="仿宋" w:eastAsia="仿宋" w:cs="仿宋"/>
          <w:b w:val="0"/>
          <w:bCs w:val="0"/>
          <w:color w:val="434343"/>
          <w:kern w:val="0"/>
          <w:sz w:val="32"/>
          <w:szCs w:val="32"/>
        </w:rPr>
        <w:t>附件</w:t>
      </w:r>
      <w:r>
        <w:rPr>
          <w:rFonts w:hint="eastAsia" w:ascii="仿宋" w:hAnsi="仿宋" w:eastAsia="仿宋" w:cs="仿宋"/>
          <w:b w:val="0"/>
          <w:bCs w:val="0"/>
          <w:color w:val="434343"/>
          <w:kern w:val="0"/>
          <w:sz w:val="32"/>
          <w:szCs w:val="32"/>
          <w:lang w:val="en-US" w:eastAsia="zh-CN"/>
        </w:rPr>
        <w:t>2</w:t>
      </w:r>
    </w:p>
    <w:p>
      <w:pPr>
        <w:keepNext w:val="0"/>
        <w:keepLines w:val="0"/>
        <w:pageBreakBefore w:val="0"/>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color w:val="000000"/>
          <w:sz w:val="32"/>
          <w:szCs w:val="32"/>
        </w:rPr>
      </w:pPr>
      <w:r>
        <w:rPr>
          <w:rFonts w:hint="eastAsia" w:ascii="黑体" w:hAnsi="黑体" w:eastAsia="黑体" w:cs="黑体"/>
          <w:b w:val="0"/>
          <w:bCs w:val="0"/>
          <w:color w:val="000000"/>
          <w:sz w:val="36"/>
          <w:szCs w:val="36"/>
        </w:rPr>
        <w:t>甜酒曲</w:t>
      </w:r>
      <w:r>
        <w:rPr>
          <w:rFonts w:hint="eastAsia" w:ascii="黑体" w:hAnsi="黑体" w:eastAsia="黑体" w:cs="黑体"/>
          <w:b w:val="0"/>
          <w:bCs w:val="0"/>
          <w:color w:val="000000"/>
          <w:sz w:val="36"/>
          <w:szCs w:val="36"/>
          <w:lang w:eastAsia="zh-CN"/>
        </w:rPr>
        <w:t>食品</w:t>
      </w:r>
      <w:r>
        <w:rPr>
          <w:rFonts w:hint="eastAsia" w:ascii="黑体" w:hAnsi="黑体" w:eastAsia="黑体" w:cs="黑体"/>
          <w:b w:val="0"/>
          <w:bCs w:val="0"/>
          <w:color w:val="000000"/>
          <w:sz w:val="36"/>
          <w:szCs w:val="36"/>
        </w:rPr>
        <w:t>生产许可审查规范</w:t>
      </w:r>
    </w:p>
    <w:p>
      <w:pPr>
        <w:pStyle w:val="13"/>
        <w:keepNext w:val="0"/>
        <w:keepLines w:val="0"/>
        <w:pageBreakBefore w:val="0"/>
        <w:widowControl w:val="0"/>
        <w:numPr>
          <w:ilvl w:val="0"/>
          <w:numId w:val="0"/>
        </w:numPr>
        <w:tabs>
          <w:tab w:val="left" w:pos="8820"/>
        </w:tabs>
        <w:kinsoku/>
        <w:wordWrap/>
        <w:overflowPunct/>
        <w:topLinePunct w:val="0"/>
        <w:bidi w:val="0"/>
        <w:snapToGrid/>
        <w:spacing w:beforeAutospacing="0" w:afterAutospacing="0" w:line="420" w:lineRule="exact"/>
        <w:ind w:left="0" w:leftChars="0" w:right="0" w:rightChars="0"/>
        <w:jc w:val="both"/>
        <w:textAlignment w:val="auto"/>
        <w:rPr>
          <w:rFonts w:hint="eastAsia" w:ascii="仿宋" w:hAnsi="仿宋" w:eastAsia="仿宋" w:cs="仿宋"/>
          <w:b w:val="0"/>
          <w:bCs w:val="0"/>
          <w:sz w:val="32"/>
          <w:szCs w:val="32"/>
          <w:lang w:eastAsia="zh-CN"/>
        </w:rPr>
      </w:pPr>
    </w:p>
    <w:p>
      <w:pPr>
        <w:pStyle w:val="13"/>
        <w:keepNext w:val="0"/>
        <w:keepLines w:val="0"/>
        <w:pageBreakBefore w:val="0"/>
        <w:widowControl w:val="0"/>
        <w:numPr>
          <w:ilvl w:val="0"/>
          <w:numId w:val="0"/>
        </w:numPr>
        <w:tabs>
          <w:tab w:val="left" w:pos="8820"/>
        </w:tabs>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sz w:val="32"/>
          <w:szCs w:val="32"/>
          <w:lang w:eastAsia="zh-CN"/>
        </w:rPr>
        <w:t>第一章</w:t>
      </w:r>
      <w:r>
        <w:rPr>
          <w:rFonts w:hint="eastAsia" w:ascii="仿宋" w:hAnsi="仿宋" w:eastAsia="仿宋" w:cs="仿宋"/>
          <w:b w:val="0"/>
          <w:bCs w:val="0"/>
          <w:sz w:val="32"/>
          <w:szCs w:val="32"/>
        </w:rPr>
        <w:t xml:space="preserve"> 总则</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第一条 本规范适用于江西省内甜酒曲</w:t>
      </w:r>
      <w:r>
        <w:rPr>
          <w:rFonts w:hint="eastAsia" w:ascii="仿宋" w:hAnsi="仿宋" w:eastAsia="仿宋" w:cs="仿宋"/>
          <w:b w:val="0"/>
          <w:bCs w:val="0"/>
          <w:kern w:val="0"/>
          <w:sz w:val="32"/>
          <w:szCs w:val="32"/>
          <w:lang w:eastAsia="zh-CN"/>
        </w:rPr>
        <w:t>食品</w:t>
      </w:r>
      <w:r>
        <w:rPr>
          <w:rFonts w:hint="eastAsia" w:ascii="仿宋" w:hAnsi="仿宋" w:eastAsia="仿宋" w:cs="仿宋"/>
          <w:b w:val="0"/>
          <w:bCs w:val="0"/>
          <w:kern w:val="0"/>
          <w:sz w:val="32"/>
          <w:szCs w:val="32"/>
        </w:rPr>
        <w:t>生产许可条件审查。规范中所称甜酒曲是指以大米、麸皮或玉米、麸皮等原辅料，经接种根霉属（Rhizopus sp.）、酿酒酵母（Saccharomyces cerevisiae）等微生物，经过通风培养、干燥、包装等工艺制得的发酵剂。可发酵制作酒酿、醪糟等传统发酵食品，属于传统食品配料。根据产品制作米酒的口味不同，可将甜酒曲分为甜味型和风味型。甜酒曲</w:t>
      </w:r>
      <w:r>
        <w:rPr>
          <w:rFonts w:hint="eastAsia" w:ascii="仿宋" w:hAnsi="仿宋" w:eastAsia="仿宋" w:cs="仿宋"/>
          <w:b w:val="0"/>
          <w:bCs w:val="0"/>
          <w:kern w:val="0"/>
          <w:sz w:val="32"/>
          <w:szCs w:val="32"/>
          <w:lang w:eastAsia="zh-CN"/>
        </w:rPr>
        <w:t>食品</w:t>
      </w:r>
      <w:r>
        <w:rPr>
          <w:rFonts w:hint="eastAsia" w:ascii="仿宋" w:hAnsi="仿宋" w:eastAsia="仿宋" w:cs="仿宋"/>
          <w:b w:val="0"/>
          <w:bCs w:val="0"/>
          <w:kern w:val="0"/>
          <w:sz w:val="32"/>
          <w:szCs w:val="32"/>
        </w:rPr>
        <w:t>的申证单元为1个，即其他食品(甜酒曲)。</w:t>
      </w:r>
    </w:p>
    <w:p>
      <w:pPr>
        <w:keepNext w:val="0"/>
        <w:keepLines w:val="0"/>
        <w:pageBreakBefore w:val="0"/>
        <w:kinsoku/>
        <w:wordWrap/>
        <w:overflowPunct/>
        <w:topLinePunct w:val="0"/>
        <w:autoSpaceDE w:val="0"/>
        <w:autoSpaceDN w:val="0"/>
        <w:bidi w:val="0"/>
        <w:adjustRightInd w:val="0"/>
        <w:snapToGrid/>
        <w:spacing w:beforeAutospacing="0" w:afterAutospacing="0" w:line="420" w:lineRule="exact"/>
        <w:ind w:left="0" w:leftChars="0" w:right="0" w:rightChars="0" w:firstLine="562" w:firstLineChars="200"/>
        <w:jc w:val="left"/>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第二条 甜酒曲的食品类别为</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其他食品</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，其类别名称（品种明细）为：其他食品（甜酒曲），类别编号为3101。甜酒曲食品类别、类别名称、品种明细及执行标准等见</w:t>
      </w:r>
      <w:r>
        <w:rPr>
          <w:rFonts w:hint="eastAsia" w:ascii="仿宋" w:hAnsi="仿宋" w:eastAsia="仿宋" w:cs="仿宋"/>
          <w:b w:val="0"/>
          <w:bCs w:val="0"/>
          <w:kern w:val="0"/>
          <w:sz w:val="32"/>
          <w:szCs w:val="32"/>
          <w:lang w:eastAsia="zh-CN"/>
        </w:rPr>
        <w:t>下</w:t>
      </w:r>
      <w:r>
        <w:rPr>
          <w:rFonts w:hint="eastAsia" w:ascii="仿宋" w:hAnsi="仿宋" w:eastAsia="仿宋" w:cs="仿宋"/>
          <w:b w:val="0"/>
          <w:bCs w:val="0"/>
          <w:kern w:val="0"/>
          <w:sz w:val="32"/>
          <w:szCs w:val="32"/>
        </w:rPr>
        <w:t>表。</w:t>
      </w:r>
    </w:p>
    <w:p>
      <w:pPr>
        <w:keepNext w:val="0"/>
        <w:keepLines w:val="0"/>
        <w:pageBreakBefore w:val="0"/>
        <w:tabs>
          <w:tab w:val="left" w:pos="0"/>
          <w:tab w:val="left" w:pos="425"/>
        </w:tabs>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甜酒曲食品类别目录列表</w:t>
      </w:r>
    </w:p>
    <w:tbl>
      <w:tblPr>
        <w:tblStyle w:val="8"/>
        <w:tblW w:w="91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95"/>
        <w:gridCol w:w="1133"/>
        <w:gridCol w:w="4670"/>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blHeader/>
          <w:jc w:val="center"/>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食品</w:t>
            </w:r>
          </w:p>
          <w:p>
            <w:pPr>
              <w:keepNext w:val="0"/>
              <w:keepLines w:val="0"/>
              <w:pageBreakBefore w:val="0"/>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类别</w:t>
            </w:r>
          </w:p>
        </w:tc>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类别</w:t>
            </w:r>
          </w:p>
          <w:p>
            <w:pPr>
              <w:keepNext w:val="0"/>
              <w:keepLines w:val="0"/>
              <w:pageBreakBefore w:val="0"/>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名称</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品种明细</w:t>
            </w:r>
          </w:p>
        </w:tc>
        <w:tc>
          <w:tcPr>
            <w:tcW w:w="4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定义</w:t>
            </w:r>
          </w:p>
        </w:tc>
        <w:tc>
          <w:tcPr>
            <w:tcW w:w="1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其他</w:t>
            </w:r>
          </w:p>
          <w:p>
            <w:pPr>
              <w:keepNext w:val="0"/>
              <w:keepLines w:val="0"/>
              <w:pageBreakBefore w:val="0"/>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食品</w:t>
            </w:r>
          </w:p>
        </w:tc>
        <w:tc>
          <w:tcPr>
            <w:tcW w:w="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其他</w:t>
            </w:r>
          </w:p>
          <w:p>
            <w:pPr>
              <w:keepNext w:val="0"/>
              <w:keepLines w:val="0"/>
              <w:pageBreakBefore w:val="0"/>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食品</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其他食品（甜酒曲）</w:t>
            </w:r>
          </w:p>
        </w:tc>
        <w:tc>
          <w:tcPr>
            <w:tcW w:w="46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以大米、麸皮或玉米、麸皮等原辅料，经接种根霉属（Rhizopus sp.）、酿酒酵母（Saccharomyces cerevisiae）等微生物，经过通风培养、干燥、包装等工艺制得的发酵剂。</w:t>
            </w:r>
          </w:p>
        </w:tc>
        <w:tc>
          <w:tcPr>
            <w:tcW w:w="15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QB/T4577或经</w:t>
            </w:r>
            <w:r>
              <w:rPr>
                <w:rFonts w:hint="eastAsia" w:ascii="仿宋" w:hAnsi="仿宋" w:eastAsia="仿宋" w:cs="仿宋"/>
                <w:b w:val="0"/>
                <w:bCs w:val="0"/>
                <w:kern w:val="0"/>
                <w:sz w:val="28"/>
                <w:szCs w:val="28"/>
                <w:lang w:eastAsia="zh-CN"/>
              </w:rPr>
              <w:t>省卫计委</w:t>
            </w:r>
            <w:r>
              <w:rPr>
                <w:rFonts w:hint="eastAsia" w:ascii="仿宋" w:hAnsi="仿宋" w:eastAsia="仿宋" w:cs="仿宋"/>
                <w:b w:val="0"/>
                <w:bCs w:val="0"/>
                <w:kern w:val="0"/>
                <w:sz w:val="28"/>
                <w:szCs w:val="28"/>
              </w:rPr>
              <w:t>备案</w:t>
            </w:r>
            <w:r>
              <w:rPr>
                <w:rFonts w:hint="eastAsia" w:ascii="仿宋" w:hAnsi="仿宋" w:eastAsia="仿宋" w:cs="仿宋"/>
                <w:b w:val="0"/>
                <w:bCs w:val="0"/>
                <w:kern w:val="0"/>
                <w:sz w:val="28"/>
                <w:szCs w:val="28"/>
                <w:lang w:eastAsia="zh-CN"/>
              </w:rPr>
              <w:t>现行</w:t>
            </w:r>
            <w:r>
              <w:rPr>
                <w:rFonts w:hint="eastAsia" w:ascii="仿宋" w:hAnsi="仿宋" w:eastAsia="仿宋" w:cs="仿宋"/>
                <w:b w:val="0"/>
                <w:bCs w:val="0"/>
                <w:kern w:val="0"/>
                <w:sz w:val="28"/>
                <w:szCs w:val="28"/>
              </w:rPr>
              <w:t>有效的企业标准</w:t>
            </w:r>
          </w:p>
          <w:p>
            <w:pPr>
              <w:keepNext w:val="0"/>
              <w:keepLines w:val="0"/>
              <w:pageBreakBefore w:val="0"/>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p>
        </w:tc>
      </w:tr>
    </w:tbl>
    <w:p>
      <w:pPr>
        <w:keepNext w:val="0"/>
        <w:keepLines w:val="0"/>
        <w:pageBreakBefore w:val="0"/>
        <w:numPr>
          <w:ilvl w:val="0"/>
          <w:numId w:val="1"/>
        </w:numPr>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kern w:val="0"/>
          <w:sz w:val="32"/>
          <w:szCs w:val="32"/>
        </w:rPr>
        <w:t>本规范中引用的文件、标准，通过引用成为本规范的内容。凡是引用文件、标准，其最新版本（包括所有的修改单）适用于本规范。</w:t>
      </w:r>
    </w:p>
    <w:p>
      <w:pPr>
        <w:keepNext w:val="0"/>
        <w:keepLines w:val="0"/>
        <w:pageBreakBefore w:val="0"/>
        <w:numPr>
          <w:ilvl w:val="0"/>
          <w:numId w:val="0"/>
        </w:numPr>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sz w:val="32"/>
          <w:szCs w:val="32"/>
          <w:lang w:eastAsia="zh-CN"/>
        </w:rPr>
        <w:t>第二章</w:t>
      </w:r>
      <w:r>
        <w:rPr>
          <w:rFonts w:hint="eastAsia" w:ascii="仿宋" w:hAnsi="仿宋" w:eastAsia="仿宋" w:cs="仿宋"/>
          <w:b w:val="0"/>
          <w:bCs w:val="0"/>
          <w:sz w:val="32"/>
          <w:szCs w:val="32"/>
        </w:rPr>
        <w:t xml:space="preserve"> 生产场所</w:t>
      </w:r>
    </w:p>
    <w:p>
      <w:pPr>
        <w:keepNext w:val="0"/>
        <w:keepLines w:val="0"/>
        <w:pageBreakBefore w:val="0"/>
        <w:kinsoku/>
        <w:wordWrap/>
        <w:overflowPunct/>
        <w:topLinePunct w:val="0"/>
        <w:autoSpaceDE w:val="0"/>
        <w:autoSpaceDN w:val="0"/>
        <w:bidi w:val="0"/>
        <w:adjustRightInd w:val="0"/>
        <w:snapToGrid/>
        <w:spacing w:beforeAutospacing="0" w:afterAutospacing="0" w:line="420" w:lineRule="exact"/>
        <w:ind w:left="0" w:leftChars="0" w:right="0" w:rightChars="0" w:firstLine="562"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kern w:val="0"/>
          <w:sz w:val="32"/>
          <w:szCs w:val="32"/>
        </w:rPr>
        <w:t>第四条 厂房</w:t>
      </w:r>
      <w:r>
        <w:rPr>
          <w:rFonts w:hint="eastAsia" w:ascii="仿宋" w:hAnsi="仿宋" w:eastAsia="仿宋" w:cs="仿宋"/>
          <w:b w:val="0"/>
          <w:bCs w:val="0"/>
          <w:sz w:val="32"/>
          <w:szCs w:val="32"/>
        </w:rPr>
        <w:t>和车间的内部设计和布局应满足食品卫生操作要求，</w:t>
      </w:r>
      <w:r>
        <w:rPr>
          <w:rFonts w:hint="eastAsia" w:ascii="仿宋" w:hAnsi="仿宋" w:eastAsia="仿宋" w:cs="仿宋"/>
          <w:b w:val="0"/>
          <w:bCs w:val="0"/>
          <w:kern w:val="0"/>
          <w:sz w:val="32"/>
          <w:szCs w:val="32"/>
        </w:rPr>
        <w:t>应当能够避免污染、交叉污染、微生物孳生，便于清洁、操作和维护</w:t>
      </w:r>
      <w:r>
        <w:rPr>
          <w:rFonts w:hint="eastAsia" w:ascii="仿宋" w:hAnsi="仿宋" w:eastAsia="仿宋" w:cs="仿宋"/>
          <w:b w:val="0"/>
          <w:bCs w:val="0"/>
          <w:sz w:val="32"/>
          <w:szCs w:val="32"/>
        </w:rPr>
        <w:t>；厂房和车间的设计应根据生产工艺合理布局，</w:t>
      </w:r>
      <w:r>
        <w:rPr>
          <w:rFonts w:hint="eastAsia" w:ascii="仿宋" w:hAnsi="仿宋" w:eastAsia="仿宋" w:cs="仿宋"/>
          <w:b w:val="0"/>
          <w:bCs w:val="0"/>
          <w:kern w:val="0"/>
          <w:sz w:val="32"/>
          <w:szCs w:val="32"/>
        </w:rPr>
        <w:t>人流、物流走向应当合理，有效控制人员、设备和物料流动造成的污染</w:t>
      </w:r>
      <w:r>
        <w:rPr>
          <w:rFonts w:hint="eastAsia" w:ascii="仿宋" w:hAnsi="仿宋" w:eastAsia="仿宋" w:cs="仿宋"/>
          <w:b w:val="0"/>
          <w:bCs w:val="0"/>
          <w:sz w:val="32"/>
          <w:szCs w:val="32"/>
        </w:rPr>
        <w:t>风险。</w:t>
      </w:r>
    </w:p>
    <w:p>
      <w:pPr>
        <w:keepNext w:val="0"/>
        <w:keepLines w:val="0"/>
        <w:pageBreakBefore w:val="0"/>
        <w:tabs>
          <w:tab w:val="left" w:pos="0"/>
          <w:tab w:val="left" w:pos="425"/>
        </w:tabs>
        <w:kinsoku/>
        <w:wordWrap/>
        <w:overflowPunct/>
        <w:topLinePunct w:val="0"/>
        <w:bidi w:val="0"/>
        <w:snapToGrid/>
        <w:spacing w:line="420" w:lineRule="exact"/>
        <w:ind w:right="0" w:rightChars="0" w:firstLine="640" w:firstLineChars="200"/>
        <w:textAlignment w:val="auto"/>
        <w:outlineLvl w:val="3"/>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 xml:space="preserve">第五条 </w:t>
      </w:r>
      <w:r>
        <w:rPr>
          <w:rFonts w:hint="eastAsia" w:ascii="仿宋" w:hAnsi="仿宋" w:eastAsia="仿宋" w:cs="仿宋"/>
          <w:b w:val="0"/>
          <w:bCs w:val="0"/>
          <w:sz w:val="32"/>
          <w:szCs w:val="32"/>
        </w:rPr>
        <w:t>厂房和车间应根据产品特点、生产工艺、生产特性以及生产过程对清洁程度的要求合理划分作业区，并采取有效分离或分隔。作业区可划分为清洁作业区、准清洁作业区和一般作业区。</w:t>
      </w:r>
      <w:r>
        <w:rPr>
          <w:rFonts w:hint="eastAsia" w:ascii="仿宋" w:hAnsi="仿宋" w:eastAsia="仿宋" w:cs="仿宋"/>
          <w:b w:val="0"/>
          <w:bCs w:val="0"/>
          <w:kern w:val="0"/>
          <w:sz w:val="32"/>
          <w:szCs w:val="32"/>
        </w:rPr>
        <w:t>清洁作业区包括微生物扩培间、培养间、干燥间、内包材消毒间（仓）、内包装间等；</w:t>
      </w:r>
      <w:r>
        <w:rPr>
          <w:rFonts w:hint="eastAsia" w:ascii="仿宋" w:hAnsi="仿宋" w:eastAsia="仿宋" w:cs="仿宋"/>
          <w:b w:val="0"/>
          <w:bCs w:val="0"/>
          <w:sz w:val="32"/>
          <w:szCs w:val="32"/>
        </w:rPr>
        <w:t>准清洁作业区包括</w:t>
      </w:r>
      <w:r>
        <w:rPr>
          <w:rFonts w:hint="eastAsia" w:ascii="仿宋" w:hAnsi="仿宋" w:eastAsia="仿宋" w:cs="仿宋"/>
          <w:b w:val="0"/>
          <w:bCs w:val="0"/>
          <w:kern w:val="0"/>
          <w:sz w:val="32"/>
          <w:szCs w:val="32"/>
        </w:rPr>
        <w:t>原辅料预处理间等；</w:t>
      </w:r>
      <w:r>
        <w:rPr>
          <w:rFonts w:hint="eastAsia" w:ascii="仿宋" w:hAnsi="仿宋" w:eastAsia="仿宋" w:cs="仿宋"/>
          <w:b w:val="0"/>
          <w:bCs w:val="0"/>
          <w:sz w:val="32"/>
          <w:szCs w:val="32"/>
        </w:rPr>
        <w:t>一般作业区包括</w:t>
      </w:r>
      <w:r>
        <w:rPr>
          <w:rFonts w:hint="eastAsia" w:ascii="仿宋" w:hAnsi="仿宋" w:eastAsia="仿宋" w:cs="仿宋"/>
          <w:b w:val="0"/>
          <w:bCs w:val="0"/>
          <w:kern w:val="0"/>
          <w:sz w:val="32"/>
          <w:szCs w:val="32"/>
        </w:rPr>
        <w:t>外包装间、原辅料仓库、包装材料仓库、成品仓库等。</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第六条 厂房内设置的检验室应与生产区域分隔。厂房的面积和空间应与生产能力相适应，便于设备安置、清洁消毒、物料存储及人员操作。</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第七条 企业应具备原辅料仓库、成品仓库、生产车间（原辅料预处理间、微生物扩培间、培养间、干燥间）、包装车间等生产场所。微生物扩培间、培养间、干燥间、内包装车间应相对独立，配备有效的消毒设施。生产车间进口处配备消毒设施。</w:t>
      </w:r>
    </w:p>
    <w:p>
      <w:pPr>
        <w:pStyle w:val="13"/>
        <w:keepNext w:val="0"/>
        <w:keepLines w:val="0"/>
        <w:pageBreakBefore w:val="0"/>
        <w:widowControl w:val="0"/>
        <w:numPr>
          <w:ilvl w:val="0"/>
          <w:numId w:val="0"/>
        </w:numPr>
        <w:tabs>
          <w:tab w:val="left" w:pos="8820"/>
        </w:tabs>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sz w:val="32"/>
          <w:szCs w:val="32"/>
          <w:lang w:eastAsia="zh-CN"/>
        </w:rPr>
        <w:t>第三章</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设备设施</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u w:val="single"/>
        </w:rPr>
      </w:pPr>
      <w:r>
        <w:rPr>
          <w:rFonts w:hint="eastAsia" w:ascii="仿宋" w:hAnsi="仿宋" w:eastAsia="仿宋" w:cs="仿宋"/>
          <w:b w:val="0"/>
          <w:bCs w:val="0"/>
          <w:kern w:val="0"/>
          <w:sz w:val="32"/>
          <w:szCs w:val="32"/>
        </w:rPr>
        <w:t>第八条 企业应具有与申报品种相适应的生产设备设施，各个设备的设计产能应能相互匹配，其性能与精密度应符合生产要求，便于操作、清洁、维护和消毒或灭菌。</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第九条 应根据实际工艺</w:t>
      </w:r>
      <w:r>
        <w:rPr>
          <w:rFonts w:hint="eastAsia" w:ascii="仿宋" w:hAnsi="仿宋" w:eastAsia="仿宋" w:cs="仿宋"/>
          <w:b w:val="0"/>
          <w:bCs w:val="0"/>
          <w:kern w:val="0"/>
          <w:sz w:val="32"/>
          <w:szCs w:val="32"/>
          <w:lang w:eastAsia="zh-CN"/>
        </w:rPr>
        <w:t>需要</w:t>
      </w:r>
      <w:r>
        <w:rPr>
          <w:rFonts w:hint="eastAsia" w:ascii="仿宋" w:hAnsi="仿宋" w:eastAsia="仿宋" w:cs="仿宋"/>
          <w:b w:val="0"/>
          <w:bCs w:val="0"/>
          <w:kern w:val="0"/>
          <w:sz w:val="32"/>
          <w:szCs w:val="32"/>
        </w:rPr>
        <w:t>配备相应的生产设备、设施。如：原辅料前处理设施（灭菌设备等）；粉碎设备（按需要）；发酵设备、设施[发酵盘（架）、通风设备设施]；干燥设备、设施；包装设备、设施；封口设备；生产日期或批号标注设备、设施。</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第十条 生产用水的水质应符合生活饮用水卫生标准。</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kern w:val="0"/>
          <w:sz w:val="32"/>
          <w:szCs w:val="32"/>
        </w:rPr>
        <w:t>第十一条 企业应具备满足成品检验所需的实验室、检验设备、设施和试剂。如：分析天平（0.1mg）、天平（0.1g）、干燥箱、恒温水浴（精度0.2℃）、恒温培养箱、显微镜等。风味型还应具备酒精度检测用设备（电炉、附温比重瓶、蒸馏装置）。如有其它出厂检验项目的还应具备相应检验设备。</w:t>
      </w:r>
    </w:p>
    <w:p>
      <w:pPr>
        <w:pStyle w:val="13"/>
        <w:keepNext w:val="0"/>
        <w:keepLines w:val="0"/>
        <w:pageBreakBefore w:val="0"/>
        <w:widowControl w:val="0"/>
        <w:numPr>
          <w:ilvl w:val="0"/>
          <w:numId w:val="0"/>
        </w:numPr>
        <w:tabs>
          <w:tab w:val="left" w:pos="8820"/>
        </w:tabs>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sz w:val="32"/>
          <w:szCs w:val="32"/>
          <w:lang w:eastAsia="zh-CN"/>
        </w:rPr>
        <w:t>第四章</w:t>
      </w:r>
      <w:r>
        <w:rPr>
          <w:rFonts w:hint="eastAsia" w:ascii="仿宋" w:hAnsi="仿宋" w:eastAsia="仿宋" w:cs="仿宋"/>
          <w:b w:val="0"/>
          <w:bCs w:val="0"/>
          <w:sz w:val="32"/>
          <w:szCs w:val="32"/>
        </w:rPr>
        <w:t xml:space="preserve"> 设备布局与工艺流程</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第十二条 生产设备的布局、安装和维护必须符合工艺需要，便于操作、清洁、维护和消毒或灭菌。不合格、报废设备应搬出生产区，暂停使用的设备应有明显标志。</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第十三条 企业应建立工艺文件、操作规程等生产技术文件，技术文件与实际操作应保持一致性。</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第十四条 关键工序或关键点可设为：原辅料灭菌、微生物菌种扩培、通风培养、干燥、内包装。</w:t>
      </w:r>
    </w:p>
    <w:p>
      <w:pPr>
        <w:pStyle w:val="13"/>
        <w:keepNext w:val="0"/>
        <w:keepLines w:val="0"/>
        <w:pageBreakBefore w:val="0"/>
        <w:widowControl w:val="0"/>
        <w:numPr>
          <w:ilvl w:val="0"/>
          <w:numId w:val="0"/>
        </w:numPr>
        <w:tabs>
          <w:tab w:val="left" w:pos="8820"/>
        </w:tabs>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sz w:val="32"/>
          <w:szCs w:val="32"/>
          <w:lang w:eastAsia="zh-CN"/>
        </w:rPr>
        <w:t>第五章</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人员管理</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第十五条 企业应建立人员管理制度，各岗位人员的数量和能力应与企业规模、工艺、设备水平相适应，与产品质量相关的岗位应设置岗位责任。</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第十六条 企业应当建立培训与考核制度，制定培训计划，培训的内容应与岗位的要求相适应，并有相应记录。食品安全管理、检验等与质量相关岗位的人员应定期培训考核，不具备能力的不得上岗。</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kern w:val="0"/>
          <w:sz w:val="32"/>
          <w:szCs w:val="32"/>
        </w:rPr>
        <w:t>第十</w:t>
      </w:r>
      <w:r>
        <w:rPr>
          <w:rFonts w:hint="eastAsia" w:ascii="仿宋" w:hAnsi="仿宋" w:eastAsia="仿宋" w:cs="仿宋"/>
          <w:b w:val="0"/>
          <w:bCs w:val="0"/>
          <w:kern w:val="0"/>
          <w:sz w:val="32"/>
          <w:szCs w:val="32"/>
          <w:lang w:eastAsia="zh-CN"/>
        </w:rPr>
        <w:t>七</w:t>
      </w:r>
      <w:r>
        <w:rPr>
          <w:rFonts w:hint="eastAsia" w:ascii="仿宋" w:hAnsi="仿宋" w:eastAsia="仿宋" w:cs="仿宋"/>
          <w:b w:val="0"/>
          <w:bCs w:val="0"/>
          <w:kern w:val="0"/>
          <w:sz w:val="32"/>
          <w:szCs w:val="32"/>
        </w:rPr>
        <w:t>条 企业应建立食品加工人员健康管理制度，食品加工人员每年应当进行健康检查，取得健康证明后方可从事食品加工。建立人员健康检查记录，保证食品加工人员患有法律法规规定的有碍食品安全的疾病时，应调整到其他不影响食品安全的工作岗位。</w:t>
      </w:r>
    </w:p>
    <w:p>
      <w:pPr>
        <w:pStyle w:val="13"/>
        <w:keepNext w:val="0"/>
        <w:keepLines w:val="0"/>
        <w:pageBreakBefore w:val="0"/>
        <w:widowControl w:val="0"/>
        <w:numPr>
          <w:ilvl w:val="0"/>
          <w:numId w:val="0"/>
        </w:numPr>
        <w:tabs>
          <w:tab w:val="left" w:pos="8820"/>
        </w:tabs>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sz w:val="32"/>
          <w:szCs w:val="32"/>
          <w:lang w:eastAsia="zh-CN"/>
        </w:rPr>
        <w:t>第六章</w:t>
      </w:r>
      <w:r>
        <w:rPr>
          <w:rFonts w:hint="eastAsia" w:ascii="仿宋" w:hAnsi="仿宋" w:eastAsia="仿宋" w:cs="仿宋"/>
          <w:b w:val="0"/>
          <w:bCs w:val="0"/>
          <w:sz w:val="32"/>
          <w:szCs w:val="32"/>
        </w:rPr>
        <w:t xml:space="preserve"> 管理制度</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第十</w:t>
      </w:r>
      <w:r>
        <w:rPr>
          <w:rFonts w:hint="eastAsia" w:ascii="仿宋" w:hAnsi="仿宋" w:eastAsia="仿宋" w:cs="仿宋"/>
          <w:b w:val="0"/>
          <w:bCs w:val="0"/>
          <w:kern w:val="0"/>
          <w:sz w:val="32"/>
          <w:szCs w:val="32"/>
          <w:lang w:eastAsia="zh-CN"/>
        </w:rPr>
        <w:t>八</w:t>
      </w:r>
      <w:r>
        <w:rPr>
          <w:rFonts w:hint="eastAsia" w:ascii="仿宋" w:hAnsi="仿宋" w:eastAsia="仿宋" w:cs="仿宋"/>
          <w:b w:val="0"/>
          <w:bCs w:val="0"/>
          <w:kern w:val="0"/>
          <w:sz w:val="32"/>
          <w:szCs w:val="32"/>
        </w:rPr>
        <w:t>条 制定原辅料的采购管理制度，保证原辅料符合国家法律法规和标准要求。接种用根霉属、酿酒酵母等微生物应符合相关规定,应制定严格的菌种管理操作制度,菌种保存、菌种扩培应按照制度严格执行并记录。</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第十</w:t>
      </w:r>
      <w:r>
        <w:rPr>
          <w:rFonts w:hint="eastAsia" w:ascii="仿宋" w:hAnsi="仿宋" w:eastAsia="仿宋" w:cs="仿宋"/>
          <w:b w:val="0"/>
          <w:bCs w:val="0"/>
          <w:kern w:val="0"/>
          <w:sz w:val="32"/>
          <w:szCs w:val="32"/>
          <w:lang w:eastAsia="zh-CN"/>
        </w:rPr>
        <w:t>九</w:t>
      </w:r>
      <w:r>
        <w:rPr>
          <w:rFonts w:hint="eastAsia" w:ascii="仿宋" w:hAnsi="仿宋" w:eastAsia="仿宋" w:cs="仿宋"/>
          <w:b w:val="0"/>
          <w:bCs w:val="0"/>
          <w:kern w:val="0"/>
          <w:sz w:val="32"/>
          <w:szCs w:val="32"/>
        </w:rPr>
        <w:t>条 如使用的原辅材料为实施生产许可证管理的产品，必须选用获得生产许可证企业生产的产品。</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w:t>
      </w:r>
      <w:r>
        <w:rPr>
          <w:rFonts w:hint="eastAsia" w:ascii="仿宋" w:hAnsi="仿宋" w:eastAsia="仿宋" w:cs="仿宋"/>
          <w:b w:val="0"/>
          <w:bCs w:val="0"/>
          <w:kern w:val="0"/>
          <w:sz w:val="32"/>
          <w:szCs w:val="32"/>
          <w:lang w:eastAsia="zh-CN"/>
        </w:rPr>
        <w:t>二十</w:t>
      </w:r>
      <w:r>
        <w:rPr>
          <w:rFonts w:hint="eastAsia" w:ascii="仿宋" w:hAnsi="仿宋" w:eastAsia="仿宋" w:cs="仿宋"/>
          <w:b w:val="0"/>
          <w:bCs w:val="0"/>
          <w:kern w:val="0"/>
          <w:sz w:val="32"/>
          <w:szCs w:val="32"/>
        </w:rPr>
        <w:t>条 包装材料应清洁、无毒且符合国家或行业相关标准及规定。</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第二十</w:t>
      </w:r>
      <w:r>
        <w:rPr>
          <w:rFonts w:hint="eastAsia" w:ascii="仿宋" w:hAnsi="仿宋" w:eastAsia="仿宋" w:cs="仿宋"/>
          <w:b w:val="0"/>
          <w:bCs w:val="0"/>
          <w:kern w:val="0"/>
          <w:sz w:val="32"/>
          <w:szCs w:val="32"/>
          <w:lang w:eastAsia="zh-CN"/>
        </w:rPr>
        <w:t>一</w:t>
      </w:r>
      <w:r>
        <w:rPr>
          <w:rFonts w:hint="eastAsia" w:ascii="仿宋" w:hAnsi="仿宋" w:eastAsia="仿宋" w:cs="仿宋"/>
          <w:b w:val="0"/>
          <w:bCs w:val="0"/>
          <w:kern w:val="0"/>
          <w:sz w:val="32"/>
          <w:szCs w:val="32"/>
        </w:rPr>
        <w:t>条 所有物料应规定适当的贮存期限，遵循“先进先出”或“近有效期先出”的原则制定物料的使用计划，定期检查质量和卫生情况，及时清理且不得使用变质或超过保质期的食品原辅料。</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第二十</w:t>
      </w:r>
      <w:r>
        <w:rPr>
          <w:rFonts w:hint="eastAsia" w:ascii="仿宋" w:hAnsi="仿宋" w:eastAsia="仿宋" w:cs="仿宋"/>
          <w:b w:val="0"/>
          <w:bCs w:val="0"/>
          <w:kern w:val="0"/>
          <w:sz w:val="32"/>
          <w:szCs w:val="32"/>
          <w:lang w:eastAsia="zh-CN"/>
        </w:rPr>
        <w:t>二</w:t>
      </w:r>
      <w:r>
        <w:rPr>
          <w:rFonts w:hint="eastAsia" w:ascii="仿宋" w:hAnsi="仿宋" w:eastAsia="仿宋" w:cs="仿宋"/>
          <w:b w:val="0"/>
          <w:bCs w:val="0"/>
          <w:kern w:val="0"/>
          <w:sz w:val="32"/>
          <w:szCs w:val="32"/>
        </w:rPr>
        <w:t>条 建立检验管理制度，检验记录应真实、准确。产品出厂检验应依据产品执行标准规定的出厂检验项目进行每批次检验。检验合格的产品应标注检验合格证号，检验合格证号可追溯到相应的出厂检验报告。</w:t>
      </w:r>
    </w:p>
    <w:p>
      <w:pPr>
        <w:keepNext w:val="0"/>
        <w:keepLines w:val="0"/>
        <w:pageBreakBefore w:val="0"/>
        <w:tabs>
          <w:tab w:val="left" w:pos="0"/>
          <w:tab w:val="left" w:pos="425"/>
        </w:tabs>
        <w:kinsoku/>
        <w:wordWrap/>
        <w:overflowPunct/>
        <w:topLinePunct w:val="0"/>
        <w:bidi w:val="0"/>
        <w:snapToGrid/>
        <w:spacing w:beforeAutospacing="0" w:afterAutospacing="0" w:line="420" w:lineRule="exact"/>
        <w:ind w:left="0" w:leftChars="0" w:right="0" w:rightChars="0" w:firstLine="562" w:firstLineChars="200"/>
        <w:textAlignment w:val="auto"/>
        <w:outlineLvl w:val="3"/>
        <w:rPr>
          <w:rFonts w:hint="eastAsia" w:ascii="仿宋" w:hAnsi="仿宋" w:eastAsia="仿宋" w:cs="仿宋"/>
          <w:b w:val="0"/>
          <w:bCs w:val="0"/>
          <w:color w:val="000000"/>
          <w:sz w:val="32"/>
          <w:szCs w:val="32"/>
        </w:rPr>
      </w:pPr>
      <w:r>
        <w:rPr>
          <w:rFonts w:hint="eastAsia" w:ascii="仿宋" w:hAnsi="仿宋" w:eastAsia="仿宋" w:cs="仿宋"/>
          <w:b w:val="0"/>
          <w:bCs w:val="0"/>
          <w:kern w:val="0"/>
          <w:sz w:val="32"/>
          <w:szCs w:val="32"/>
        </w:rPr>
        <w:t>第二十</w:t>
      </w:r>
      <w:r>
        <w:rPr>
          <w:rFonts w:hint="eastAsia" w:ascii="仿宋" w:hAnsi="仿宋" w:eastAsia="仿宋" w:cs="仿宋"/>
          <w:b w:val="0"/>
          <w:bCs w:val="0"/>
          <w:kern w:val="0"/>
          <w:sz w:val="32"/>
          <w:szCs w:val="32"/>
          <w:lang w:eastAsia="zh-CN"/>
        </w:rPr>
        <w:t>三</w:t>
      </w:r>
      <w:r>
        <w:rPr>
          <w:rFonts w:hint="eastAsia" w:ascii="仿宋" w:hAnsi="仿宋" w:eastAsia="仿宋" w:cs="仿宋"/>
          <w:b w:val="0"/>
          <w:bCs w:val="0"/>
          <w:kern w:val="0"/>
          <w:sz w:val="32"/>
          <w:szCs w:val="32"/>
        </w:rPr>
        <w:t>条</w:t>
      </w:r>
      <w:r>
        <w:rPr>
          <w:rFonts w:hint="eastAsia" w:ascii="仿宋" w:hAnsi="仿宋" w:eastAsia="仿宋" w:cs="仿宋"/>
          <w:b w:val="0"/>
          <w:bCs w:val="0"/>
          <w:color w:val="000000"/>
          <w:sz w:val="32"/>
          <w:szCs w:val="32"/>
        </w:rPr>
        <w:t xml:space="preserve"> 按照《食品安全国家标准 食品生产通用卫生规范》（GB14881），建立防止微生物污染的控制制度,包括生产环境的微生物监控和过程中的微生物监控。</w:t>
      </w:r>
    </w:p>
    <w:p>
      <w:pPr>
        <w:keepNext w:val="0"/>
        <w:keepLines w:val="0"/>
        <w:pageBreakBefore w:val="0"/>
        <w:tabs>
          <w:tab w:val="left" w:pos="0"/>
          <w:tab w:val="left" w:pos="425"/>
        </w:tabs>
        <w:kinsoku/>
        <w:wordWrap/>
        <w:overflowPunct/>
        <w:topLinePunct w:val="0"/>
        <w:bidi w:val="0"/>
        <w:snapToGrid/>
        <w:spacing w:beforeAutospacing="0" w:afterAutospacing="0" w:line="420" w:lineRule="exact"/>
        <w:ind w:left="0" w:leftChars="0" w:right="0" w:rightChars="0" w:firstLine="560" w:firstLineChars="200"/>
        <w:textAlignment w:val="auto"/>
        <w:outlineLvl w:val="3"/>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应配备足够的食品、工器具和设备的专用清洁设施，必要时应配备消毒设施。应采取措施避免清洁、消毒工器具带来的交叉污染。应建立杀菌或除菌工艺标准及杀菌或除菌设备的定期清洗管理制度,做好相关工艺记录,记录内容应完整、真实，确保可进行有效追溯。</w:t>
      </w:r>
    </w:p>
    <w:p>
      <w:pPr>
        <w:keepNext w:val="0"/>
        <w:keepLines w:val="0"/>
        <w:pageBreakBefore w:val="0"/>
        <w:tabs>
          <w:tab w:val="left" w:pos="0"/>
          <w:tab w:val="left" w:pos="425"/>
        </w:tabs>
        <w:kinsoku/>
        <w:wordWrap/>
        <w:overflowPunct/>
        <w:topLinePunct w:val="0"/>
        <w:bidi w:val="0"/>
        <w:snapToGrid/>
        <w:spacing w:line="420" w:lineRule="exact"/>
        <w:ind w:right="0" w:rightChars="0" w:firstLine="640" w:firstLineChars="200"/>
        <w:textAlignment w:val="auto"/>
        <w:outlineLvl w:val="3"/>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企业使用的洗涤剂、消毒剂以及对环境场所进行消毒、杀菌的方式应安全可靠，符合国家有关规定。</w:t>
      </w:r>
      <w:r>
        <w:rPr>
          <w:rFonts w:hint="eastAsia" w:ascii="仿宋" w:hAnsi="仿宋" w:eastAsia="仿宋" w:cs="仿宋"/>
          <w:b w:val="0"/>
          <w:bCs w:val="0"/>
          <w:kern w:val="0"/>
          <w:sz w:val="32"/>
          <w:szCs w:val="32"/>
        </w:rPr>
        <w:t>不得采用甲醛、高锰酸钾熏蒸方式对环境</w:t>
      </w:r>
      <w:r>
        <w:rPr>
          <w:rFonts w:hint="eastAsia" w:ascii="仿宋" w:hAnsi="仿宋" w:eastAsia="仿宋" w:cs="仿宋"/>
          <w:b w:val="0"/>
          <w:bCs w:val="0"/>
          <w:kern w:val="0"/>
          <w:sz w:val="32"/>
          <w:szCs w:val="32"/>
          <w:lang w:eastAsia="zh-CN"/>
        </w:rPr>
        <w:t>场所</w:t>
      </w:r>
      <w:r>
        <w:rPr>
          <w:rFonts w:hint="eastAsia" w:ascii="仿宋" w:hAnsi="仿宋" w:eastAsia="仿宋" w:cs="仿宋"/>
          <w:b w:val="0"/>
          <w:bCs w:val="0"/>
          <w:kern w:val="0"/>
          <w:sz w:val="32"/>
          <w:szCs w:val="32"/>
        </w:rPr>
        <w:t>进行消毒杀菌。</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第二十</w:t>
      </w:r>
      <w:r>
        <w:rPr>
          <w:rFonts w:hint="eastAsia" w:ascii="仿宋" w:hAnsi="仿宋" w:eastAsia="仿宋" w:cs="仿宋"/>
          <w:b w:val="0"/>
          <w:bCs w:val="0"/>
          <w:kern w:val="0"/>
          <w:sz w:val="32"/>
          <w:szCs w:val="32"/>
          <w:lang w:eastAsia="zh-CN"/>
        </w:rPr>
        <w:t>四</w:t>
      </w:r>
      <w:r>
        <w:rPr>
          <w:rFonts w:hint="eastAsia" w:ascii="仿宋" w:hAnsi="仿宋" w:eastAsia="仿宋" w:cs="仿宋"/>
          <w:b w:val="0"/>
          <w:bCs w:val="0"/>
          <w:kern w:val="0"/>
          <w:sz w:val="32"/>
          <w:szCs w:val="32"/>
        </w:rPr>
        <w:t>条 建立产品召回制度，对召回的食品采取补救、无害化处理、销毁等措施，记录召回和处理情况，并应当向所在地县级食品药品监督管理部门报告。</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第二十</w:t>
      </w:r>
      <w:r>
        <w:rPr>
          <w:rFonts w:hint="eastAsia" w:ascii="仿宋" w:hAnsi="仿宋" w:eastAsia="仿宋" w:cs="仿宋"/>
          <w:b w:val="0"/>
          <w:bCs w:val="0"/>
          <w:kern w:val="0"/>
          <w:sz w:val="32"/>
          <w:szCs w:val="32"/>
          <w:lang w:eastAsia="zh-CN"/>
        </w:rPr>
        <w:t>五</w:t>
      </w:r>
      <w:r>
        <w:rPr>
          <w:rFonts w:hint="eastAsia" w:ascii="仿宋" w:hAnsi="仿宋" w:eastAsia="仿宋" w:cs="仿宋"/>
          <w:b w:val="0"/>
          <w:bCs w:val="0"/>
          <w:kern w:val="0"/>
          <w:sz w:val="32"/>
          <w:szCs w:val="32"/>
        </w:rPr>
        <w:t>条</w:t>
      </w:r>
      <w:bookmarkStart w:id="0" w:name="OLE_LINK6"/>
      <w:bookmarkEnd w:id="0"/>
      <w:bookmarkStart w:id="1" w:name="_Toc28006"/>
      <w:bookmarkStart w:id="2" w:name="_Toc415228651"/>
      <w:r>
        <w:rPr>
          <w:rFonts w:hint="eastAsia" w:ascii="仿宋" w:hAnsi="仿宋" w:eastAsia="仿宋" w:cs="仿宋"/>
          <w:b w:val="0"/>
          <w:bCs w:val="0"/>
          <w:kern w:val="0"/>
          <w:sz w:val="32"/>
          <w:szCs w:val="32"/>
        </w:rPr>
        <w:t xml:space="preserve"> 制定原辅料、半成品和成品的不合格管理制度及相关处理办法，建立和保存不合格品处理过程记录。</w:t>
      </w:r>
    </w:p>
    <w:bookmarkEnd w:id="1"/>
    <w:bookmarkEnd w:id="2"/>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第二十</w:t>
      </w:r>
      <w:r>
        <w:rPr>
          <w:rFonts w:hint="eastAsia" w:ascii="仿宋" w:hAnsi="仿宋" w:eastAsia="仿宋" w:cs="仿宋"/>
          <w:b w:val="0"/>
          <w:bCs w:val="0"/>
          <w:kern w:val="0"/>
          <w:sz w:val="32"/>
          <w:szCs w:val="32"/>
          <w:lang w:eastAsia="zh-CN"/>
        </w:rPr>
        <w:t>六</w:t>
      </w:r>
      <w:r>
        <w:rPr>
          <w:rFonts w:hint="eastAsia" w:ascii="仿宋" w:hAnsi="仿宋" w:eastAsia="仿宋" w:cs="仿宋"/>
          <w:b w:val="0"/>
          <w:bCs w:val="0"/>
          <w:kern w:val="0"/>
          <w:sz w:val="32"/>
          <w:szCs w:val="32"/>
        </w:rPr>
        <w:t>条 企业应当按照卫生规范的要求建立与所生产食品相适应的生产质量管理体系，定期对该体系的运行情况进行自查，保证其有效运行，并形成自查报告。</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0"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建立食品安全风险管理和自查制度，主动收集国家发布的食品安全风险监测和评估信息，研究评估生产过程中存在的风险因素，采取有效措施，防范风险，建立风险收集记录，定期对食品安全状况进行检查评价。</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第二十</w:t>
      </w:r>
      <w:r>
        <w:rPr>
          <w:rFonts w:hint="eastAsia" w:ascii="仿宋" w:hAnsi="仿宋" w:eastAsia="仿宋" w:cs="仿宋"/>
          <w:b w:val="0"/>
          <w:bCs w:val="0"/>
          <w:kern w:val="0"/>
          <w:sz w:val="32"/>
          <w:szCs w:val="32"/>
          <w:lang w:eastAsia="zh-CN"/>
        </w:rPr>
        <w:t>七</w:t>
      </w:r>
      <w:r>
        <w:rPr>
          <w:rFonts w:hint="eastAsia" w:ascii="仿宋" w:hAnsi="仿宋" w:eastAsia="仿宋" w:cs="仿宋"/>
          <w:b w:val="0"/>
          <w:bCs w:val="0"/>
          <w:kern w:val="0"/>
          <w:sz w:val="32"/>
          <w:szCs w:val="32"/>
        </w:rPr>
        <w:t>条 建立食品安全事故处理制度，应有食品安全事故处置记录。</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bookmarkStart w:id="3" w:name="_Toc5872"/>
      <w:r>
        <w:rPr>
          <w:rFonts w:hint="eastAsia" w:ascii="仿宋" w:hAnsi="仿宋" w:eastAsia="仿宋" w:cs="仿宋"/>
          <w:b w:val="0"/>
          <w:bCs w:val="0"/>
          <w:kern w:val="0"/>
          <w:sz w:val="32"/>
          <w:szCs w:val="32"/>
        </w:rPr>
        <w:t>第二十</w:t>
      </w:r>
      <w:r>
        <w:rPr>
          <w:rFonts w:hint="eastAsia" w:ascii="仿宋" w:hAnsi="仿宋" w:eastAsia="仿宋" w:cs="仿宋"/>
          <w:b w:val="0"/>
          <w:bCs w:val="0"/>
          <w:kern w:val="0"/>
          <w:sz w:val="32"/>
          <w:szCs w:val="32"/>
          <w:lang w:eastAsia="zh-CN"/>
        </w:rPr>
        <w:t>八</w:t>
      </w:r>
      <w:r>
        <w:rPr>
          <w:rFonts w:hint="eastAsia" w:ascii="仿宋" w:hAnsi="仿宋" w:eastAsia="仿宋" w:cs="仿宋"/>
          <w:b w:val="0"/>
          <w:bCs w:val="0"/>
          <w:kern w:val="0"/>
          <w:sz w:val="32"/>
          <w:szCs w:val="32"/>
        </w:rPr>
        <w:t>条 建立检验设备管理制度，应有检验设备台账及设备使用记录，定期校准、维护检验设备和设施，保持检验设备的准确有效运行。</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第二十</w:t>
      </w:r>
      <w:r>
        <w:rPr>
          <w:rFonts w:hint="eastAsia" w:ascii="仿宋" w:hAnsi="仿宋" w:eastAsia="仿宋" w:cs="仿宋"/>
          <w:b w:val="0"/>
          <w:bCs w:val="0"/>
          <w:kern w:val="0"/>
          <w:sz w:val="32"/>
          <w:szCs w:val="32"/>
          <w:lang w:eastAsia="zh-CN"/>
        </w:rPr>
        <w:t>九</w:t>
      </w:r>
      <w:r>
        <w:rPr>
          <w:rFonts w:hint="eastAsia" w:ascii="仿宋" w:hAnsi="仿宋" w:eastAsia="仿宋" w:cs="仿宋"/>
          <w:b w:val="0"/>
          <w:bCs w:val="0"/>
          <w:kern w:val="0"/>
          <w:sz w:val="32"/>
          <w:szCs w:val="32"/>
        </w:rPr>
        <w:t>条</w:t>
      </w:r>
      <w:bookmarkEnd w:id="3"/>
      <w:r>
        <w:rPr>
          <w:rFonts w:hint="eastAsia" w:ascii="仿宋" w:hAnsi="仿宋" w:eastAsia="仿宋" w:cs="仿宋"/>
          <w:b w:val="0"/>
          <w:bCs w:val="0"/>
          <w:kern w:val="0"/>
          <w:sz w:val="32"/>
          <w:szCs w:val="32"/>
        </w:rPr>
        <w:t xml:space="preserve"> 建立文件管理制度，企业质量管理机构应对质量文件的有效性负责，质量文件的起草、修订、审核、批准应由相关人员签名，并注明日期。</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w:t>
      </w:r>
      <w:r>
        <w:rPr>
          <w:rFonts w:hint="eastAsia" w:ascii="仿宋" w:hAnsi="仿宋" w:eastAsia="仿宋" w:cs="仿宋"/>
          <w:b w:val="0"/>
          <w:bCs w:val="0"/>
          <w:kern w:val="0"/>
          <w:sz w:val="32"/>
          <w:szCs w:val="32"/>
          <w:lang w:eastAsia="zh-CN"/>
        </w:rPr>
        <w:t>三十</w:t>
      </w:r>
      <w:r>
        <w:rPr>
          <w:rFonts w:hint="eastAsia" w:ascii="仿宋" w:hAnsi="仿宋" w:eastAsia="仿宋" w:cs="仿宋"/>
          <w:b w:val="0"/>
          <w:bCs w:val="0"/>
          <w:kern w:val="0"/>
          <w:sz w:val="32"/>
          <w:szCs w:val="32"/>
        </w:rPr>
        <w:t>条 建立记录管理制度，记录内容应完整、真实，所有记录（包括电子文档）保存时间不得少于产品保质期满后6个月。记录的任何更改都应当标注姓名和日期，并使原有信息仍清晰可查。</w:t>
      </w:r>
      <w:bookmarkStart w:id="4" w:name="_Toc415228678"/>
      <w:bookmarkStart w:id="5" w:name="_Toc19605"/>
      <w:bookmarkStart w:id="6" w:name="_Toc416939963"/>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kern w:val="0"/>
          <w:sz w:val="32"/>
          <w:szCs w:val="32"/>
        </w:rPr>
        <w:t>第三十</w:t>
      </w:r>
      <w:r>
        <w:rPr>
          <w:rFonts w:hint="eastAsia" w:ascii="仿宋" w:hAnsi="仿宋" w:eastAsia="仿宋" w:cs="仿宋"/>
          <w:b w:val="0"/>
          <w:bCs w:val="0"/>
          <w:kern w:val="0"/>
          <w:sz w:val="32"/>
          <w:szCs w:val="32"/>
          <w:lang w:eastAsia="zh-CN"/>
        </w:rPr>
        <w:t>一</w:t>
      </w:r>
      <w:r>
        <w:rPr>
          <w:rFonts w:hint="eastAsia" w:ascii="仿宋" w:hAnsi="仿宋" w:eastAsia="仿宋" w:cs="仿宋"/>
          <w:b w:val="0"/>
          <w:bCs w:val="0"/>
          <w:kern w:val="0"/>
          <w:sz w:val="32"/>
          <w:szCs w:val="32"/>
        </w:rPr>
        <w:t>条 建立消费者投诉处理制度。对消费者提出的意见、投诉等，企业相关管理部门应作记录，并查找原因，妥善处理。</w:t>
      </w:r>
      <w:bookmarkEnd w:id="4"/>
      <w:bookmarkEnd w:id="5"/>
      <w:bookmarkEnd w:id="6"/>
    </w:p>
    <w:p>
      <w:pPr>
        <w:pStyle w:val="13"/>
        <w:keepNext w:val="0"/>
        <w:keepLines w:val="0"/>
        <w:pageBreakBefore w:val="0"/>
        <w:widowControl w:val="0"/>
        <w:numPr>
          <w:ilvl w:val="0"/>
          <w:numId w:val="0"/>
        </w:numPr>
        <w:tabs>
          <w:tab w:val="left" w:pos="8820"/>
        </w:tabs>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sz w:val="32"/>
          <w:szCs w:val="32"/>
          <w:lang w:eastAsia="zh-CN"/>
        </w:rPr>
        <w:t>第七章</w:t>
      </w:r>
      <w:r>
        <w:rPr>
          <w:rFonts w:hint="eastAsia" w:ascii="仿宋" w:hAnsi="仿宋" w:eastAsia="仿宋" w:cs="仿宋"/>
          <w:b w:val="0"/>
          <w:bCs w:val="0"/>
          <w:sz w:val="32"/>
          <w:szCs w:val="32"/>
        </w:rPr>
        <w:t xml:space="preserve"> 试制产品检验合格报告</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第三十</w:t>
      </w:r>
      <w:r>
        <w:rPr>
          <w:rFonts w:hint="eastAsia" w:ascii="仿宋" w:hAnsi="仿宋" w:eastAsia="仿宋" w:cs="仿宋"/>
          <w:b w:val="0"/>
          <w:bCs w:val="0"/>
          <w:kern w:val="0"/>
          <w:sz w:val="32"/>
          <w:szCs w:val="32"/>
          <w:lang w:eastAsia="zh-CN"/>
        </w:rPr>
        <w:t>二</w:t>
      </w:r>
      <w:r>
        <w:rPr>
          <w:rFonts w:hint="eastAsia" w:ascii="仿宋" w:hAnsi="仿宋" w:eastAsia="仿宋" w:cs="仿宋"/>
          <w:b w:val="0"/>
          <w:bCs w:val="0"/>
          <w:kern w:val="0"/>
          <w:sz w:val="32"/>
          <w:szCs w:val="32"/>
        </w:rPr>
        <w:t xml:space="preserve">条 </w:t>
      </w:r>
      <w:r>
        <w:rPr>
          <w:rFonts w:hint="eastAsia" w:ascii="仿宋" w:hAnsi="仿宋" w:eastAsia="仿宋" w:cs="仿宋"/>
          <w:b w:val="0"/>
          <w:bCs w:val="0"/>
          <w:sz w:val="32"/>
          <w:szCs w:val="32"/>
        </w:rPr>
        <w:t>企业提供试制产品的有资质第三方检验合格报告，</w:t>
      </w:r>
      <w:r>
        <w:rPr>
          <w:rFonts w:hint="eastAsia" w:ascii="仿宋" w:hAnsi="仿宋" w:eastAsia="仿宋" w:cs="仿宋"/>
          <w:b w:val="0"/>
          <w:bCs w:val="0"/>
          <w:kern w:val="0"/>
          <w:sz w:val="32"/>
          <w:szCs w:val="32"/>
        </w:rPr>
        <w:t>检验项目应涵盖附表中的全部项目</w:t>
      </w:r>
      <w:r>
        <w:rPr>
          <w:rFonts w:hint="eastAsia" w:ascii="仿宋" w:hAnsi="仿宋" w:eastAsia="仿宋" w:cs="仿宋"/>
          <w:b w:val="0"/>
          <w:bCs w:val="0"/>
          <w:sz w:val="32"/>
          <w:szCs w:val="32"/>
        </w:rPr>
        <w:t>。出厂检验注有“*”标记的，企业应当每年检验2次。</w:t>
      </w:r>
    </w:p>
    <w:p>
      <w:pPr>
        <w:pStyle w:val="13"/>
        <w:keepNext w:val="0"/>
        <w:keepLines w:val="0"/>
        <w:pageBreakBefore w:val="0"/>
        <w:widowControl w:val="0"/>
        <w:numPr>
          <w:ilvl w:val="0"/>
          <w:numId w:val="0"/>
        </w:numPr>
        <w:tabs>
          <w:tab w:val="left" w:pos="8820"/>
        </w:tabs>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sz w:val="32"/>
          <w:szCs w:val="32"/>
          <w:lang w:eastAsia="zh-CN"/>
        </w:rPr>
        <w:t>第八章</w:t>
      </w:r>
      <w:r>
        <w:rPr>
          <w:rFonts w:hint="eastAsia" w:ascii="仿宋" w:hAnsi="仿宋" w:eastAsia="仿宋" w:cs="仿宋"/>
          <w:b w:val="0"/>
          <w:bCs w:val="0"/>
          <w:sz w:val="32"/>
          <w:szCs w:val="32"/>
        </w:rPr>
        <w:t xml:space="preserve"> 附则</w:t>
      </w:r>
      <w:bookmarkStart w:id="7" w:name="_GoBack"/>
      <w:bookmarkEnd w:id="7"/>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color w:val="0000FF"/>
          <w:sz w:val="32"/>
          <w:szCs w:val="32"/>
        </w:rPr>
      </w:pPr>
      <w:r>
        <w:rPr>
          <w:rFonts w:hint="eastAsia" w:ascii="仿宋" w:hAnsi="仿宋" w:eastAsia="仿宋" w:cs="仿宋"/>
          <w:b w:val="0"/>
          <w:bCs w:val="0"/>
          <w:sz w:val="32"/>
          <w:szCs w:val="32"/>
          <w:lang w:eastAsia="zh-CN"/>
        </w:rPr>
        <w:t>第</w:t>
      </w:r>
      <w:r>
        <w:rPr>
          <w:rFonts w:hint="eastAsia" w:ascii="仿宋" w:hAnsi="仿宋" w:eastAsia="仿宋" w:cs="仿宋"/>
          <w:b w:val="0"/>
          <w:bCs w:val="0"/>
          <w:kern w:val="0"/>
          <w:sz w:val="32"/>
          <w:szCs w:val="32"/>
        </w:rPr>
        <w:t>三十</w:t>
      </w:r>
      <w:r>
        <w:rPr>
          <w:rFonts w:hint="eastAsia" w:ascii="仿宋" w:hAnsi="仿宋" w:eastAsia="仿宋" w:cs="仿宋"/>
          <w:b w:val="0"/>
          <w:bCs w:val="0"/>
          <w:kern w:val="0"/>
          <w:sz w:val="32"/>
          <w:szCs w:val="32"/>
          <w:lang w:eastAsia="zh-CN"/>
        </w:rPr>
        <w:t>三</w:t>
      </w:r>
      <w:r>
        <w:rPr>
          <w:rFonts w:hint="eastAsia" w:ascii="仿宋" w:hAnsi="仿宋" w:eastAsia="仿宋" w:cs="仿宋"/>
          <w:b w:val="0"/>
          <w:bCs w:val="0"/>
          <w:sz w:val="32"/>
          <w:szCs w:val="32"/>
          <w:lang w:eastAsia="zh-CN"/>
        </w:rPr>
        <w:t>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本类产品不允许分装</w:t>
      </w:r>
      <w:r>
        <w:rPr>
          <w:rFonts w:hint="eastAsia" w:ascii="仿宋" w:hAnsi="仿宋" w:eastAsia="仿宋" w:cs="仿宋"/>
          <w:b w:val="0"/>
          <w:bCs w:val="0"/>
          <w:color w:val="0000FF"/>
          <w:sz w:val="32"/>
          <w:szCs w:val="32"/>
        </w:rPr>
        <w:t>。</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第三十</w:t>
      </w:r>
      <w:r>
        <w:rPr>
          <w:rFonts w:hint="eastAsia" w:ascii="仿宋" w:hAnsi="仿宋" w:eastAsia="仿宋" w:cs="仿宋"/>
          <w:b w:val="0"/>
          <w:bCs w:val="0"/>
          <w:kern w:val="0"/>
          <w:sz w:val="32"/>
          <w:szCs w:val="32"/>
          <w:lang w:eastAsia="zh-CN"/>
        </w:rPr>
        <w:t>四</w:t>
      </w:r>
      <w:r>
        <w:rPr>
          <w:rFonts w:hint="eastAsia" w:ascii="仿宋" w:hAnsi="仿宋" w:eastAsia="仿宋" w:cs="仿宋"/>
          <w:b w:val="0"/>
          <w:bCs w:val="0"/>
          <w:kern w:val="0"/>
          <w:sz w:val="32"/>
          <w:szCs w:val="32"/>
        </w:rPr>
        <w:t>条 本规范自</w:t>
      </w:r>
      <w:r>
        <w:rPr>
          <w:rFonts w:hint="eastAsia" w:ascii="仿宋" w:hAnsi="仿宋" w:eastAsia="仿宋" w:cs="仿宋"/>
          <w:b w:val="0"/>
          <w:bCs w:val="0"/>
          <w:sz w:val="32"/>
          <w:szCs w:val="32"/>
        </w:rPr>
        <w:t>发布之</w:t>
      </w:r>
      <w:r>
        <w:rPr>
          <w:rFonts w:hint="eastAsia" w:ascii="仿宋" w:hAnsi="仿宋" w:eastAsia="仿宋" w:cs="仿宋"/>
          <w:b w:val="0"/>
          <w:bCs w:val="0"/>
          <w:kern w:val="0"/>
          <w:sz w:val="32"/>
          <w:szCs w:val="32"/>
        </w:rPr>
        <w:t>日起施行。</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附</w:t>
      </w:r>
      <w:r>
        <w:rPr>
          <w:rFonts w:hint="eastAsia" w:ascii="仿宋" w:hAnsi="仿宋" w:eastAsia="仿宋" w:cs="仿宋"/>
          <w:b w:val="0"/>
          <w:bCs w:val="0"/>
          <w:kern w:val="0"/>
          <w:sz w:val="32"/>
          <w:szCs w:val="32"/>
          <w:lang w:eastAsia="zh-CN"/>
        </w:rPr>
        <w:t>表</w:t>
      </w:r>
      <w:r>
        <w:rPr>
          <w:rFonts w:hint="eastAsia" w:ascii="仿宋" w:hAnsi="仿宋" w:eastAsia="仿宋" w:cs="仿宋"/>
          <w:b w:val="0"/>
          <w:bCs w:val="0"/>
          <w:kern w:val="0"/>
          <w:sz w:val="32"/>
          <w:szCs w:val="32"/>
        </w:rPr>
        <w:t>：</w:t>
      </w:r>
    </w:p>
    <w:p>
      <w:pPr>
        <w:keepNext w:val="0"/>
        <w:keepLines w:val="0"/>
        <w:pageBreakBefore w:val="0"/>
        <w:kinsoku/>
        <w:wordWrap/>
        <w:overflowPunct/>
        <w:topLinePunct w:val="0"/>
        <w:bidi w:val="0"/>
        <w:snapToGrid/>
        <w:spacing w:beforeAutospacing="0" w:afterAutospacing="0" w:line="420" w:lineRule="exact"/>
        <w:ind w:left="0" w:leftChars="0" w:right="0" w:rightChars="0" w:firstLine="562" w:firstLineChars="20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甜酒曲</w:t>
      </w:r>
      <w:r>
        <w:rPr>
          <w:rFonts w:hint="eastAsia" w:ascii="仿宋" w:hAnsi="仿宋" w:eastAsia="仿宋" w:cs="仿宋"/>
          <w:b w:val="0"/>
          <w:bCs w:val="0"/>
          <w:kern w:val="0"/>
          <w:sz w:val="32"/>
          <w:szCs w:val="32"/>
          <w:lang w:eastAsia="zh-CN"/>
        </w:rPr>
        <w:t>食品</w:t>
      </w:r>
      <w:r>
        <w:rPr>
          <w:rFonts w:hint="eastAsia" w:ascii="仿宋" w:hAnsi="仿宋" w:eastAsia="仿宋" w:cs="仿宋"/>
          <w:b w:val="0"/>
          <w:bCs w:val="0"/>
          <w:kern w:val="0"/>
          <w:sz w:val="32"/>
          <w:szCs w:val="32"/>
        </w:rPr>
        <w:t>检验项目及技术要求表</w:t>
      </w:r>
    </w:p>
    <w:tbl>
      <w:tblPr>
        <w:tblStyle w:val="8"/>
        <w:tblW w:w="8447" w:type="dxa"/>
        <w:jc w:val="center"/>
        <w:tblCellSpacing w:w="0" w:type="dxa"/>
        <w:tblInd w:w="-209" w:type="dxa"/>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0" w:type="dxa"/>
          <w:left w:w="0" w:type="dxa"/>
          <w:bottom w:w="0" w:type="dxa"/>
          <w:right w:w="0" w:type="dxa"/>
        </w:tblCellMar>
      </w:tblPr>
      <w:tblGrid>
        <w:gridCol w:w="751"/>
        <w:gridCol w:w="4530"/>
        <w:gridCol w:w="960"/>
        <w:gridCol w:w="929"/>
        <w:gridCol w:w="1277"/>
      </w:tblGrid>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jc w:val="center"/>
        </w:trPr>
        <w:tc>
          <w:tcPr>
            <w:tcW w:w="751"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序号</w:t>
            </w:r>
          </w:p>
        </w:tc>
        <w:tc>
          <w:tcPr>
            <w:tcW w:w="453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检验项目</w:t>
            </w:r>
          </w:p>
        </w:tc>
        <w:tc>
          <w:tcPr>
            <w:tcW w:w="96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监督</w:t>
            </w:r>
          </w:p>
        </w:tc>
        <w:tc>
          <w:tcPr>
            <w:tcW w:w="929"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出厂</w:t>
            </w:r>
          </w:p>
        </w:tc>
        <w:tc>
          <w:tcPr>
            <w:tcW w:w="1277"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备注</w:t>
            </w:r>
          </w:p>
        </w:tc>
      </w:tr>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51"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w:t>
            </w:r>
          </w:p>
        </w:tc>
        <w:tc>
          <w:tcPr>
            <w:tcW w:w="453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规格</w:t>
            </w:r>
          </w:p>
        </w:tc>
        <w:tc>
          <w:tcPr>
            <w:tcW w:w="96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929"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1277"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p>
        </w:tc>
      </w:tr>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51"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2</w:t>
            </w:r>
          </w:p>
        </w:tc>
        <w:tc>
          <w:tcPr>
            <w:tcW w:w="453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净含量</w:t>
            </w:r>
          </w:p>
        </w:tc>
        <w:tc>
          <w:tcPr>
            <w:tcW w:w="96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929"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1277"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p>
        </w:tc>
      </w:tr>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51"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3</w:t>
            </w:r>
          </w:p>
        </w:tc>
        <w:tc>
          <w:tcPr>
            <w:tcW w:w="453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感官</w:t>
            </w:r>
          </w:p>
        </w:tc>
        <w:tc>
          <w:tcPr>
            <w:tcW w:w="96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929"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1277"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p>
        </w:tc>
      </w:tr>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51"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4</w:t>
            </w:r>
          </w:p>
        </w:tc>
        <w:tc>
          <w:tcPr>
            <w:tcW w:w="453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水分</w:t>
            </w:r>
          </w:p>
        </w:tc>
        <w:tc>
          <w:tcPr>
            <w:tcW w:w="96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929"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1277"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p>
        </w:tc>
      </w:tr>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0" w:type="dxa"/>
            <w:left w:w="0" w:type="dxa"/>
            <w:bottom w:w="0" w:type="dxa"/>
            <w:right w:w="0" w:type="dxa"/>
          </w:tblCellMar>
        </w:tblPrEx>
        <w:trPr>
          <w:trHeight w:val="471" w:hRule="atLeast"/>
          <w:tblCellSpacing w:w="0" w:type="dxa"/>
          <w:jc w:val="center"/>
        </w:trPr>
        <w:tc>
          <w:tcPr>
            <w:tcW w:w="751"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5</w:t>
            </w:r>
          </w:p>
        </w:tc>
        <w:tc>
          <w:tcPr>
            <w:tcW w:w="453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酸度</w:t>
            </w:r>
          </w:p>
        </w:tc>
        <w:tc>
          <w:tcPr>
            <w:tcW w:w="96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929"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1277"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p>
        </w:tc>
      </w:tr>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51"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6</w:t>
            </w:r>
          </w:p>
        </w:tc>
        <w:tc>
          <w:tcPr>
            <w:tcW w:w="453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sz w:val="28"/>
                <w:szCs w:val="28"/>
              </w:rPr>
              <w:t>糖度</w:t>
            </w:r>
          </w:p>
        </w:tc>
        <w:tc>
          <w:tcPr>
            <w:tcW w:w="96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929"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1277"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p>
        </w:tc>
      </w:tr>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tblCellSpacing w:w="0" w:type="dxa"/>
          <w:jc w:val="center"/>
        </w:trPr>
        <w:tc>
          <w:tcPr>
            <w:tcW w:w="751"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7</w:t>
            </w:r>
          </w:p>
        </w:tc>
        <w:tc>
          <w:tcPr>
            <w:tcW w:w="453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酒精度</w:t>
            </w:r>
          </w:p>
        </w:tc>
        <w:tc>
          <w:tcPr>
            <w:tcW w:w="96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929"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1277"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eastAsia="zh-CN"/>
              </w:rPr>
              <w:t>适用</w:t>
            </w:r>
          </w:p>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风味型</w:t>
            </w:r>
          </w:p>
        </w:tc>
      </w:tr>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51"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8</w:t>
            </w:r>
          </w:p>
        </w:tc>
        <w:tc>
          <w:tcPr>
            <w:tcW w:w="453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sz w:val="28"/>
                <w:szCs w:val="28"/>
              </w:rPr>
              <w:t>铅</w:t>
            </w:r>
          </w:p>
        </w:tc>
        <w:tc>
          <w:tcPr>
            <w:tcW w:w="96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929"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sz w:val="28"/>
                <w:szCs w:val="28"/>
              </w:rPr>
              <w:t>*</w:t>
            </w:r>
          </w:p>
        </w:tc>
        <w:tc>
          <w:tcPr>
            <w:tcW w:w="1277"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p>
        </w:tc>
      </w:tr>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51"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9</w:t>
            </w:r>
          </w:p>
        </w:tc>
        <w:tc>
          <w:tcPr>
            <w:tcW w:w="453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sz w:val="28"/>
                <w:szCs w:val="28"/>
              </w:rPr>
              <w:t>总砷</w:t>
            </w:r>
          </w:p>
        </w:tc>
        <w:tc>
          <w:tcPr>
            <w:tcW w:w="96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929"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sz w:val="28"/>
                <w:szCs w:val="28"/>
              </w:rPr>
              <w:t>*</w:t>
            </w:r>
          </w:p>
        </w:tc>
        <w:tc>
          <w:tcPr>
            <w:tcW w:w="1277"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p>
        </w:tc>
      </w:tr>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0" w:type="dxa"/>
            <w:left w:w="0" w:type="dxa"/>
            <w:bottom w:w="0" w:type="dxa"/>
            <w:right w:w="0" w:type="dxa"/>
          </w:tblCellMar>
        </w:tblPrEx>
        <w:trPr>
          <w:trHeight w:val="435" w:hRule="atLeast"/>
          <w:tblCellSpacing w:w="0" w:type="dxa"/>
          <w:jc w:val="center"/>
        </w:trPr>
        <w:tc>
          <w:tcPr>
            <w:tcW w:w="751"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10</w:t>
            </w:r>
          </w:p>
        </w:tc>
        <w:tc>
          <w:tcPr>
            <w:tcW w:w="453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sz w:val="28"/>
                <w:szCs w:val="28"/>
              </w:rPr>
              <w:t>致病菌（沙门氏菌、金黄色葡萄球菌）</w:t>
            </w:r>
          </w:p>
        </w:tc>
        <w:tc>
          <w:tcPr>
            <w:tcW w:w="96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929"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sz w:val="28"/>
                <w:szCs w:val="28"/>
              </w:rPr>
              <w:t>*</w:t>
            </w:r>
          </w:p>
        </w:tc>
        <w:tc>
          <w:tcPr>
            <w:tcW w:w="1277"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p>
        </w:tc>
      </w:tr>
      <w:tr>
        <w:tblPrEx>
          <w:tblBorders>
            <w:top w:val="outset" w:color="FFFFFF" w:sz="6" w:space="0"/>
            <w:left w:val="outset" w:color="FFFFFF" w:sz="6" w:space="0"/>
            <w:bottom w:val="outset" w:color="FFFFFF" w:sz="6" w:space="0"/>
            <w:right w:val="outset" w:color="FFFFFF" w:sz="6"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751"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11</w:t>
            </w:r>
          </w:p>
        </w:tc>
        <w:tc>
          <w:tcPr>
            <w:tcW w:w="453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标签</w:t>
            </w:r>
          </w:p>
        </w:tc>
        <w:tc>
          <w:tcPr>
            <w:tcW w:w="960"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929"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w:t>
            </w:r>
          </w:p>
        </w:tc>
        <w:tc>
          <w:tcPr>
            <w:tcW w:w="1277" w:type="dxa"/>
            <w:tcBorders>
              <w:top w:val="outset" w:color="FFFFFF" w:sz="6" w:space="0"/>
              <w:left w:val="outset" w:color="FFFFFF" w:sz="6" w:space="0"/>
              <w:bottom w:val="outset" w:color="FFFFFF" w:sz="6" w:space="0"/>
              <w:right w:val="outset" w:color="FFFFFF" w:sz="6" w:space="0"/>
            </w:tcBorders>
            <w:vAlign w:val="center"/>
          </w:tcPr>
          <w:p>
            <w:pPr>
              <w:keepNext w:val="0"/>
              <w:keepLines w:val="0"/>
              <w:pageBreakBefore w:val="0"/>
              <w:widowControl/>
              <w:kinsoku/>
              <w:wordWrap/>
              <w:overflowPunct/>
              <w:topLinePunct w:val="0"/>
              <w:bidi w:val="0"/>
              <w:snapToGrid/>
              <w:spacing w:beforeAutospacing="0" w:afterAutospacing="0" w:line="420" w:lineRule="exact"/>
              <w:ind w:left="0" w:leftChars="0" w:right="0" w:rightChars="0"/>
              <w:jc w:val="center"/>
              <w:textAlignment w:val="auto"/>
              <w:rPr>
                <w:rFonts w:hint="eastAsia" w:ascii="仿宋" w:hAnsi="仿宋" w:eastAsia="仿宋" w:cs="仿宋"/>
                <w:b w:val="0"/>
                <w:bCs w:val="0"/>
                <w:kern w:val="0"/>
                <w:sz w:val="28"/>
                <w:szCs w:val="28"/>
              </w:rPr>
            </w:pPr>
          </w:p>
        </w:tc>
      </w:tr>
    </w:tbl>
    <w:p>
      <w:pPr>
        <w:keepNext w:val="0"/>
        <w:keepLines w:val="0"/>
        <w:pageBreakBefore w:val="0"/>
        <w:kinsoku/>
        <w:wordWrap/>
        <w:overflowPunct/>
        <w:topLinePunct w:val="0"/>
        <w:bidi w:val="0"/>
        <w:snapToGrid/>
        <w:spacing w:line="420" w:lineRule="exact"/>
        <w:ind w:right="0" w:rightChars="0"/>
        <w:textAlignment w:val="auto"/>
        <w:rPr>
          <w:rFonts w:hint="eastAsia" w:ascii="仿宋" w:hAnsi="仿宋" w:eastAsia="仿宋" w:cs="仿宋"/>
          <w:b w:val="0"/>
          <w:bCs w:val="0"/>
          <w:kern w:val="0"/>
          <w:sz w:val="32"/>
          <w:szCs w:val="32"/>
        </w:rPr>
      </w:pPr>
      <w:r>
        <w:rPr>
          <w:rFonts w:hint="eastAsia" w:ascii="仿宋" w:hAnsi="仿宋" w:eastAsia="仿宋" w:cs="仿宋"/>
          <w:b w:val="0"/>
          <w:bCs w:val="0"/>
          <w:color w:val="434343"/>
          <w:kern w:val="0"/>
          <w:sz w:val="32"/>
          <w:szCs w:val="32"/>
        </w:rPr>
        <w:t>    </w:t>
      </w:r>
      <w:r>
        <w:rPr>
          <w:rFonts w:hint="eastAsia" w:ascii="仿宋" w:hAnsi="仿宋" w:eastAsia="仿宋" w:cs="仿宋"/>
          <w:b w:val="0"/>
          <w:bCs w:val="0"/>
          <w:color w:val="434343"/>
          <w:kern w:val="0"/>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6656A"/>
    <w:multiLevelType w:val="singleLevel"/>
    <w:tmpl w:val="5936656A"/>
    <w:lvl w:ilvl="0" w:tentative="0">
      <w:start w:val="3"/>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27D1"/>
    <w:rsid w:val="003027D1"/>
    <w:rsid w:val="00510874"/>
    <w:rsid w:val="005A2168"/>
    <w:rsid w:val="005B1C3C"/>
    <w:rsid w:val="00633613"/>
    <w:rsid w:val="00695A39"/>
    <w:rsid w:val="007662E6"/>
    <w:rsid w:val="00864461"/>
    <w:rsid w:val="00940C08"/>
    <w:rsid w:val="00D77E07"/>
    <w:rsid w:val="21737F20"/>
    <w:rsid w:val="41CB6389"/>
    <w:rsid w:val="45000789"/>
    <w:rsid w:val="482864CF"/>
    <w:rsid w:val="4AEA1AA7"/>
    <w:rsid w:val="587D67AB"/>
    <w:rsid w:val="646E2399"/>
    <w:rsid w:val="7D206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apple-converted-space"/>
    <w:basedOn w:val="6"/>
    <w:qFormat/>
    <w:uiPriority w:val="0"/>
  </w:style>
  <w:style w:type="character" w:customStyle="1" w:styleId="12">
    <w:name w:val="批注框文本 Char"/>
    <w:basedOn w:val="6"/>
    <w:link w:val="2"/>
    <w:semiHidden/>
    <w:qFormat/>
    <w:uiPriority w:val="99"/>
    <w:rPr>
      <w:sz w:val="18"/>
      <w:szCs w:val="18"/>
    </w:rPr>
  </w:style>
  <w:style w:type="paragraph" w:customStyle="1" w:styleId="13">
    <w:name w:val="列出段落1"/>
    <w:basedOn w:val="1"/>
    <w:qFormat/>
    <w:uiPriority w:val="34"/>
    <w:pPr>
      <w:widowControl/>
      <w:ind w:firstLine="420" w:firstLineChars="200"/>
      <w:jc w:val="left"/>
    </w:pPr>
    <w:rPr>
      <w:rFonts w:ascii="宋体" w:hAnsi="宋体" w:eastAsia="宋体" w:cs="宋体"/>
      <w:kern w:val="0"/>
      <w:sz w:val="24"/>
      <w:szCs w:val="24"/>
    </w:rPr>
  </w:style>
  <w:style w:type="character" w:customStyle="1" w:styleId="14">
    <w:name w:val="附录一级条标题 Char"/>
    <w:basedOn w:val="15"/>
    <w:link w:val="18"/>
    <w:qFormat/>
    <w:uiPriority w:val="0"/>
  </w:style>
  <w:style w:type="character" w:customStyle="1" w:styleId="15">
    <w:name w:val="附录章标题 Char"/>
    <w:link w:val="16"/>
    <w:qFormat/>
    <w:uiPriority w:val="0"/>
    <w:rPr>
      <w:rFonts w:ascii="黑体" w:eastAsia="黑体"/>
      <w:kern w:val="21"/>
    </w:rPr>
  </w:style>
  <w:style w:type="paragraph" w:customStyle="1" w:styleId="16">
    <w:name w:val="附录章标题"/>
    <w:next w:val="17"/>
    <w:link w:val="15"/>
    <w:qFormat/>
    <w:uiPriority w:val="0"/>
    <w:pPr>
      <w:wordWrap w:val="0"/>
      <w:overflowPunct w:val="0"/>
      <w:autoSpaceDE w:val="0"/>
      <w:spacing w:beforeLines="50" w:afterLines="50"/>
      <w:jc w:val="both"/>
      <w:textAlignment w:val="baseline"/>
      <w:outlineLvl w:val="1"/>
    </w:pPr>
    <w:rPr>
      <w:rFonts w:ascii="黑体" w:eastAsia="黑体" w:hAnsiTheme="minorHAnsi" w:cstheme="minorBidi"/>
      <w:kern w:val="21"/>
      <w:sz w:val="21"/>
      <w:szCs w:val="22"/>
      <w:lang w:val="en-US" w:eastAsia="zh-CN" w:bidi="ar-SA"/>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8">
    <w:name w:val="附录一级条标题"/>
    <w:basedOn w:val="16"/>
    <w:next w:val="17"/>
    <w:link w:val="14"/>
    <w:qFormat/>
    <w:uiPriority w:val="0"/>
    <w:pPr>
      <w:autoSpaceDN w:val="0"/>
      <w:spacing w:beforeLines="0" w:afterLines="0"/>
      <w:ind w:firstLine="400"/>
      <w:outlineLvl w:val="2"/>
    </w:pPr>
  </w:style>
  <w:style w:type="paragraph" w:customStyle="1" w:styleId="19">
    <w:name w:val="附录二级条标题"/>
    <w:basedOn w:val="18"/>
    <w:next w:val="17"/>
    <w:qFormat/>
    <w:uiPriority w:val="0"/>
    <w:pPr>
      <w:ind w:firstLine="400"/>
      <w:outlineLvl w:val="3"/>
    </w:pPr>
  </w:style>
  <w:style w:type="paragraph" w:customStyle="1" w:styleId="20">
    <w:name w:val="List Paragraph"/>
    <w:basedOn w:val="1"/>
    <w:qFormat/>
    <w:uiPriority w:val="34"/>
    <w:pPr>
      <w:ind w:firstLine="420" w:firstLineChars="200"/>
    </w:pPr>
    <w:rPr>
      <w:rFonts w:ascii="宋体" w:hAnsi="宋体" w:eastAsia="宋体" w:cs="Times New Roman"/>
      <w:sz w:val="24"/>
      <w:szCs w:val="24"/>
    </w:rPr>
  </w:style>
  <w:style w:type="paragraph" w:customStyle="1" w:styleId="21">
    <w:name w:val="列出段落2"/>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2912</Words>
  <Characters>16602</Characters>
  <Lines>138</Lines>
  <Paragraphs>38</Paragraphs>
  <ScaleCrop>false</ScaleCrop>
  <LinksUpToDate>false</LinksUpToDate>
  <CharactersWithSpaces>19476</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2017-06-06T07:04:00Z</dcterms:created>
  <dc:creator>张婷</dc:creator>
  <cp:lastModifiedBy>Administrator</cp:lastModifiedBy>
  <cp:lastPrinted>2017-07-04T06:02:57Z</cp:lastPrinted>
  <dcterms:modified xsi:type="dcterms:W3CDTF">2017-07-04T06:04:29Z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