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C4" w:rsidRPr="00627463" w:rsidRDefault="00B36FC4" w:rsidP="00B36FC4">
      <w:pPr>
        <w:adjustRightInd w:val="0"/>
        <w:spacing w:line="400" w:lineRule="exact"/>
        <w:rPr>
          <w:rFonts w:ascii="黑体" w:eastAsia="黑体"/>
          <w:sz w:val="32"/>
          <w:szCs w:val="32"/>
        </w:rPr>
      </w:pPr>
      <w:r w:rsidRPr="00627463">
        <w:rPr>
          <w:rFonts w:ascii="黑体" w:eastAsia="黑体" w:hint="eastAsia"/>
          <w:sz w:val="32"/>
          <w:szCs w:val="32"/>
        </w:rPr>
        <w:t>附件1</w:t>
      </w:r>
    </w:p>
    <w:p w:rsidR="00B36FC4" w:rsidRPr="00627463" w:rsidRDefault="00B36FC4" w:rsidP="00B36FC4">
      <w:pPr>
        <w:pStyle w:val="1"/>
        <w:spacing w:before="0" w:line="660" w:lineRule="exact"/>
        <w:jc w:val="center"/>
        <w:rPr>
          <w:rFonts w:ascii="方正小标宋简体" w:eastAsia="方正小标宋简体"/>
          <w:b w:val="0"/>
          <w:sz w:val="40"/>
        </w:rPr>
      </w:pPr>
      <w:r w:rsidRPr="00627463">
        <w:rPr>
          <w:rFonts w:ascii="方正小标宋简体" w:eastAsia="方正小标宋简体" w:hint="eastAsia"/>
          <w:b w:val="0"/>
          <w:sz w:val="40"/>
        </w:rPr>
        <w:t>餐饮环节部分高风险违法行为行政处罚指南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127"/>
        <w:gridCol w:w="5953"/>
        <w:gridCol w:w="5419"/>
      </w:tblGrid>
      <w:tr w:rsidR="00B36FC4" w:rsidRPr="0065432B" w:rsidTr="00EC404F">
        <w:trPr>
          <w:tblHeader/>
          <w:jc w:val="center"/>
        </w:trPr>
        <w:tc>
          <w:tcPr>
            <w:tcW w:w="425" w:type="dxa"/>
          </w:tcPr>
          <w:p w:rsidR="00B36FC4" w:rsidRPr="00627463" w:rsidRDefault="00B36FC4" w:rsidP="00EC404F">
            <w:pPr>
              <w:adjustRightInd w:val="0"/>
              <w:snapToGrid w:val="0"/>
              <w:spacing w:beforeLines="50" w:before="156" w:afterLines="50" w:after="156"/>
              <w:jc w:val="center"/>
              <w:rPr>
                <w:rFonts w:ascii="仿宋_GB2312" w:eastAsia="仿宋_GB2312"/>
                <w:b/>
                <w:sz w:val="24"/>
              </w:rPr>
            </w:pPr>
          </w:p>
        </w:tc>
        <w:tc>
          <w:tcPr>
            <w:tcW w:w="2127" w:type="dxa"/>
          </w:tcPr>
          <w:p w:rsidR="00B36FC4" w:rsidRPr="00627463" w:rsidRDefault="00B36FC4" w:rsidP="00EC404F">
            <w:pPr>
              <w:adjustRightInd w:val="0"/>
              <w:snapToGrid w:val="0"/>
              <w:spacing w:beforeLines="50" w:before="156" w:afterLines="50" w:after="156"/>
              <w:jc w:val="center"/>
              <w:rPr>
                <w:rFonts w:ascii="仿宋_GB2312" w:eastAsia="仿宋_GB2312"/>
                <w:b/>
                <w:sz w:val="24"/>
              </w:rPr>
            </w:pPr>
            <w:r w:rsidRPr="00627463">
              <w:rPr>
                <w:rFonts w:ascii="仿宋_GB2312" w:eastAsia="仿宋_GB2312" w:hint="eastAsia"/>
                <w:b/>
                <w:sz w:val="24"/>
              </w:rPr>
              <w:t>违法行为</w:t>
            </w:r>
          </w:p>
        </w:tc>
        <w:tc>
          <w:tcPr>
            <w:tcW w:w="5953" w:type="dxa"/>
          </w:tcPr>
          <w:p w:rsidR="00B36FC4" w:rsidRPr="00627463" w:rsidRDefault="00B36FC4" w:rsidP="00EC404F">
            <w:pPr>
              <w:adjustRightInd w:val="0"/>
              <w:snapToGrid w:val="0"/>
              <w:spacing w:beforeLines="50" w:before="156" w:afterLines="50" w:after="156"/>
              <w:jc w:val="center"/>
              <w:rPr>
                <w:rFonts w:ascii="仿宋_GB2312" w:eastAsia="仿宋_GB2312"/>
                <w:b/>
                <w:sz w:val="24"/>
              </w:rPr>
            </w:pPr>
            <w:r w:rsidRPr="00627463">
              <w:rPr>
                <w:rFonts w:ascii="仿宋_GB2312" w:eastAsia="仿宋_GB2312" w:hint="eastAsia"/>
                <w:b/>
                <w:sz w:val="24"/>
              </w:rPr>
              <w:t>违反规定</w:t>
            </w:r>
          </w:p>
        </w:tc>
        <w:tc>
          <w:tcPr>
            <w:tcW w:w="5419" w:type="dxa"/>
          </w:tcPr>
          <w:p w:rsidR="00B36FC4" w:rsidRPr="00627463" w:rsidRDefault="00B36FC4" w:rsidP="00EC404F">
            <w:pPr>
              <w:adjustRightInd w:val="0"/>
              <w:snapToGrid w:val="0"/>
              <w:spacing w:beforeLines="50" w:before="156" w:afterLines="50" w:after="156"/>
              <w:jc w:val="center"/>
              <w:rPr>
                <w:rFonts w:ascii="仿宋_GB2312" w:eastAsia="仿宋_GB2312"/>
                <w:b/>
                <w:sz w:val="24"/>
              </w:rPr>
            </w:pPr>
            <w:r w:rsidRPr="00627463">
              <w:rPr>
                <w:rFonts w:ascii="仿宋_GB2312" w:eastAsia="仿宋_GB2312" w:hint="eastAsia"/>
                <w:b/>
                <w:sz w:val="24"/>
              </w:rPr>
              <w:t>处罚依据</w:t>
            </w:r>
          </w:p>
        </w:tc>
      </w:tr>
      <w:tr w:rsidR="00B36FC4" w:rsidRPr="004C2150" w:rsidTr="00EC404F">
        <w:trPr>
          <w:jc w:val="center"/>
        </w:trPr>
        <w:tc>
          <w:tcPr>
            <w:tcW w:w="425" w:type="dxa"/>
            <w:vAlign w:val="center"/>
          </w:tcPr>
          <w:p w:rsidR="00B36FC4" w:rsidRPr="00627463" w:rsidRDefault="00B36FC4" w:rsidP="00EC404F">
            <w:pPr>
              <w:adjustRightInd w:val="0"/>
              <w:snapToGrid w:val="0"/>
              <w:jc w:val="center"/>
              <w:rPr>
                <w:rFonts w:ascii="仿宋_GB2312" w:eastAsia="仿宋_GB2312"/>
                <w:sz w:val="24"/>
              </w:rPr>
            </w:pPr>
            <w:r w:rsidRPr="00627463">
              <w:rPr>
                <w:rFonts w:ascii="仿宋_GB2312" w:eastAsia="仿宋_GB2312" w:hint="eastAsia"/>
                <w:sz w:val="24"/>
              </w:rPr>
              <w:t>1</w:t>
            </w:r>
          </w:p>
        </w:tc>
        <w:tc>
          <w:tcPr>
            <w:tcW w:w="2127" w:type="dxa"/>
            <w:vAlign w:val="center"/>
          </w:tcPr>
          <w:p w:rsidR="00B36FC4" w:rsidRPr="00627463" w:rsidRDefault="00B36FC4" w:rsidP="00EC404F">
            <w:pPr>
              <w:adjustRightInd w:val="0"/>
              <w:snapToGrid w:val="0"/>
              <w:rPr>
                <w:rFonts w:ascii="仿宋_GB2312" w:eastAsia="仿宋_GB2312"/>
                <w:sz w:val="24"/>
              </w:rPr>
            </w:pPr>
            <w:r w:rsidRPr="00627463">
              <w:rPr>
                <w:rFonts w:ascii="仿宋_GB2312" w:eastAsia="仿宋_GB2312" w:hint="eastAsia"/>
                <w:sz w:val="24"/>
              </w:rPr>
              <w:t>超范围经营</w:t>
            </w:r>
          </w:p>
        </w:tc>
        <w:tc>
          <w:tcPr>
            <w:tcW w:w="5953" w:type="dxa"/>
            <w:vAlign w:val="center"/>
          </w:tcPr>
          <w:p w:rsidR="00B36FC4" w:rsidRPr="00627463" w:rsidRDefault="00B36FC4" w:rsidP="00EC404F">
            <w:pPr>
              <w:adjustRightInd w:val="0"/>
              <w:snapToGrid w:val="0"/>
              <w:rPr>
                <w:rFonts w:ascii="仿宋_GB2312" w:eastAsia="仿宋_GB2312"/>
                <w:sz w:val="24"/>
              </w:rPr>
            </w:pPr>
            <w:r w:rsidRPr="00627463">
              <w:rPr>
                <w:rFonts w:ascii="仿宋_GB2312" w:eastAsia="仿宋_GB2312" w:hint="eastAsia"/>
                <w:bCs/>
                <w:sz w:val="24"/>
              </w:rPr>
              <w:t>《中华人民共和国食品安全法》第三十五条　国家对食品生产经营实行许可制度。从事食品生产、食品销售、餐饮服务，应当依法取得许可。</w:t>
            </w:r>
          </w:p>
        </w:tc>
        <w:tc>
          <w:tcPr>
            <w:tcW w:w="5419" w:type="dxa"/>
            <w:vAlign w:val="center"/>
          </w:tcPr>
          <w:p w:rsidR="00B36FC4" w:rsidRPr="00627463" w:rsidRDefault="00B36FC4" w:rsidP="00EC404F">
            <w:pPr>
              <w:adjustRightInd w:val="0"/>
              <w:snapToGrid w:val="0"/>
              <w:rPr>
                <w:rFonts w:ascii="仿宋_GB2312" w:eastAsia="仿宋_GB2312"/>
                <w:sz w:val="24"/>
              </w:rPr>
            </w:pPr>
            <w:r w:rsidRPr="00627463">
              <w:rPr>
                <w:rFonts w:ascii="仿宋_GB2312" w:eastAsia="仿宋_GB2312" w:hint="eastAsia"/>
                <w:bCs/>
                <w:sz w:val="24"/>
              </w:rPr>
              <w:t>《中华人民共和国食品安全法》</w:t>
            </w:r>
            <w:r w:rsidRPr="00627463">
              <w:rPr>
                <w:rFonts w:ascii="仿宋_GB2312" w:eastAsia="仿宋_GB2312" w:hint="eastAsia"/>
                <w:sz w:val="24"/>
              </w:rPr>
              <w:t>第一百二十二条  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w:t>
            </w:r>
            <w:proofErr w:type="gramStart"/>
            <w:r w:rsidRPr="00627463">
              <w:rPr>
                <w:rFonts w:ascii="仿宋_GB2312" w:eastAsia="仿宋_GB2312" w:hint="eastAsia"/>
                <w:sz w:val="24"/>
              </w:rPr>
              <w:t>并处货值</w:t>
            </w:r>
            <w:proofErr w:type="gramEnd"/>
            <w:r w:rsidRPr="00627463">
              <w:rPr>
                <w:rFonts w:ascii="仿宋_GB2312" w:eastAsia="仿宋_GB2312" w:hint="eastAsia"/>
                <w:sz w:val="24"/>
              </w:rPr>
              <w:t>金额十倍以上二十倍以下罚款。</w:t>
            </w:r>
          </w:p>
        </w:tc>
      </w:tr>
      <w:tr w:rsidR="00B36FC4" w:rsidRPr="004C2150" w:rsidTr="00EC404F">
        <w:trPr>
          <w:jc w:val="center"/>
        </w:trPr>
        <w:tc>
          <w:tcPr>
            <w:tcW w:w="425" w:type="dxa"/>
            <w:vAlign w:val="center"/>
          </w:tcPr>
          <w:p w:rsidR="00B36FC4" w:rsidRPr="00627463" w:rsidRDefault="00B36FC4" w:rsidP="00EC404F">
            <w:pPr>
              <w:adjustRightInd w:val="0"/>
              <w:snapToGrid w:val="0"/>
              <w:jc w:val="center"/>
              <w:rPr>
                <w:rFonts w:ascii="仿宋_GB2312" w:eastAsia="仿宋_GB2312"/>
                <w:sz w:val="24"/>
              </w:rPr>
            </w:pPr>
            <w:r w:rsidRPr="00627463">
              <w:rPr>
                <w:rFonts w:ascii="仿宋_GB2312" w:eastAsia="仿宋_GB2312" w:hint="eastAsia"/>
                <w:sz w:val="24"/>
              </w:rPr>
              <w:t>2</w:t>
            </w:r>
          </w:p>
        </w:tc>
        <w:tc>
          <w:tcPr>
            <w:tcW w:w="2127" w:type="dxa"/>
            <w:vAlign w:val="center"/>
          </w:tcPr>
          <w:p w:rsidR="00B36FC4" w:rsidRPr="00627463" w:rsidRDefault="00B36FC4" w:rsidP="00EC404F">
            <w:pPr>
              <w:adjustRightInd w:val="0"/>
              <w:snapToGrid w:val="0"/>
              <w:rPr>
                <w:rFonts w:ascii="仿宋_GB2312" w:eastAsia="仿宋_GB2312"/>
                <w:sz w:val="24"/>
              </w:rPr>
            </w:pPr>
            <w:r w:rsidRPr="00627463">
              <w:rPr>
                <w:rFonts w:ascii="仿宋_GB2312" w:eastAsia="仿宋_GB2312" w:hint="eastAsia"/>
                <w:sz w:val="24"/>
              </w:rPr>
              <w:t>生熟交叉污染；餐饮具和接触熟食品的容器、工用具清洗消毒水池与食品原料清洗水池混用</w:t>
            </w:r>
          </w:p>
        </w:tc>
        <w:tc>
          <w:tcPr>
            <w:tcW w:w="5953" w:type="dxa"/>
            <w:vAlign w:val="center"/>
          </w:tcPr>
          <w:p w:rsidR="00B36FC4" w:rsidRPr="00627463" w:rsidRDefault="00B36FC4" w:rsidP="00EC404F">
            <w:pPr>
              <w:adjustRightInd w:val="0"/>
              <w:snapToGrid w:val="0"/>
              <w:rPr>
                <w:rFonts w:ascii="仿宋_GB2312" w:eastAsia="仿宋_GB2312"/>
                <w:bCs/>
                <w:sz w:val="24"/>
              </w:rPr>
            </w:pPr>
            <w:r w:rsidRPr="00627463">
              <w:rPr>
                <w:rFonts w:ascii="仿宋_GB2312" w:eastAsia="仿宋_GB2312" w:hint="eastAsia"/>
                <w:bCs/>
                <w:sz w:val="24"/>
              </w:rPr>
              <w:t>1、《中华人民共和国食品安全法》第三十三条  食品生产经营应当符合食品安全标准，并符合下列要求：</w:t>
            </w:r>
          </w:p>
          <w:p w:rsidR="00B36FC4" w:rsidRPr="00627463" w:rsidRDefault="00B36FC4" w:rsidP="00EC404F">
            <w:pPr>
              <w:adjustRightInd w:val="0"/>
              <w:snapToGrid w:val="0"/>
              <w:rPr>
                <w:rFonts w:ascii="仿宋_GB2312" w:eastAsia="仿宋_GB2312"/>
                <w:sz w:val="24"/>
              </w:rPr>
            </w:pPr>
            <w:r w:rsidRPr="00627463">
              <w:rPr>
                <w:rFonts w:ascii="仿宋_GB2312" w:eastAsia="仿宋_GB2312" w:hint="eastAsia"/>
                <w:sz w:val="24"/>
              </w:rPr>
              <w:t>（四）具有合理的设备布局和工艺流程，防止待加工食品与直接入口食品、原料与成品交叉污染，避免食品接触有毒物、不洁物；</w:t>
            </w:r>
          </w:p>
          <w:p w:rsidR="00B36FC4" w:rsidRPr="00627463" w:rsidRDefault="00B36FC4" w:rsidP="00EC404F">
            <w:pPr>
              <w:adjustRightInd w:val="0"/>
              <w:snapToGrid w:val="0"/>
              <w:rPr>
                <w:rFonts w:ascii="仿宋_GB2312" w:eastAsia="仿宋_GB2312"/>
                <w:sz w:val="24"/>
              </w:rPr>
            </w:pPr>
            <w:r w:rsidRPr="00627463">
              <w:rPr>
                <w:rFonts w:ascii="仿宋_GB2312" w:eastAsia="仿宋_GB2312" w:hint="eastAsia"/>
                <w:bCs/>
                <w:sz w:val="24"/>
              </w:rPr>
              <w:t xml:space="preserve">2、《中华人民共和国食品安全法》第四十七条  </w:t>
            </w:r>
            <w:r w:rsidRPr="00627463">
              <w:rPr>
                <w:rFonts w:ascii="仿宋_GB2312" w:eastAsia="仿宋_GB2312" w:hint="eastAsia"/>
                <w:sz w:val="24"/>
              </w:rPr>
              <w:t>食品生产经营者应当建立食品安全自查制度，定期对食品安全状况进行检查评价。生产经营条件发生变化，不再符合食品安全要求的，食品生产经营者应当立即采取整改措施；有发生食品安全事故潜在风险的，应当立即停止食品生产经营活动，并向所在地县级人民政府食品药品监督管理部门报告。</w:t>
            </w:r>
          </w:p>
        </w:tc>
        <w:tc>
          <w:tcPr>
            <w:tcW w:w="5419" w:type="dxa"/>
            <w:vAlign w:val="center"/>
          </w:tcPr>
          <w:p w:rsidR="00B36FC4" w:rsidRPr="00627463" w:rsidRDefault="00B36FC4" w:rsidP="00EC404F">
            <w:pPr>
              <w:adjustRightInd w:val="0"/>
              <w:snapToGrid w:val="0"/>
              <w:rPr>
                <w:rFonts w:ascii="仿宋_GB2312" w:eastAsia="仿宋_GB2312"/>
                <w:bCs/>
                <w:sz w:val="24"/>
              </w:rPr>
            </w:pPr>
            <w:r w:rsidRPr="00627463">
              <w:rPr>
                <w:rFonts w:ascii="仿宋_GB2312" w:eastAsia="仿宋_GB2312" w:hint="eastAsia"/>
                <w:bCs/>
                <w:sz w:val="24"/>
              </w:rPr>
              <w:t>《中华人民共和国食品安全法》第一百二十六条  违反本法规定，有下列情形之一的，由县级以上人民政府食品药品监督管理部门责令改正，给予警告；拒不改正的，处五千元以上五万元以下罚款；情节严重的，责令停产停业，直至吊销许可证：</w:t>
            </w:r>
          </w:p>
          <w:p w:rsidR="00B36FC4" w:rsidRPr="00627463" w:rsidRDefault="00B36FC4" w:rsidP="00EC404F">
            <w:pPr>
              <w:adjustRightInd w:val="0"/>
              <w:snapToGrid w:val="0"/>
              <w:rPr>
                <w:rFonts w:ascii="仿宋_GB2312" w:eastAsia="仿宋_GB2312"/>
                <w:sz w:val="24"/>
              </w:rPr>
            </w:pPr>
            <w:r w:rsidRPr="00627463">
              <w:rPr>
                <w:rFonts w:ascii="仿宋_GB2312" w:eastAsia="仿宋_GB2312" w:hint="eastAsia"/>
                <w:bCs/>
                <w:sz w:val="24"/>
              </w:rPr>
              <w:t>（十一）食品生产经营者未定期对食品安全状况进行检查评价，或者生产经营条件发生变化，未按规定处理；</w:t>
            </w:r>
          </w:p>
        </w:tc>
      </w:tr>
      <w:tr w:rsidR="00B36FC4" w:rsidRPr="004C2150" w:rsidTr="00EC404F">
        <w:trPr>
          <w:trHeight w:val="2899"/>
          <w:jc w:val="center"/>
        </w:trPr>
        <w:tc>
          <w:tcPr>
            <w:tcW w:w="425" w:type="dxa"/>
            <w:vAlign w:val="center"/>
          </w:tcPr>
          <w:p w:rsidR="00B36FC4" w:rsidRPr="00627463" w:rsidRDefault="00B36FC4" w:rsidP="00EC404F">
            <w:pPr>
              <w:adjustRightInd w:val="0"/>
              <w:snapToGrid w:val="0"/>
              <w:jc w:val="center"/>
              <w:rPr>
                <w:rFonts w:ascii="仿宋_GB2312" w:eastAsia="仿宋_GB2312"/>
                <w:sz w:val="24"/>
              </w:rPr>
            </w:pPr>
            <w:r w:rsidRPr="00627463">
              <w:rPr>
                <w:rFonts w:ascii="仿宋_GB2312" w:eastAsia="仿宋_GB2312" w:hint="eastAsia"/>
                <w:sz w:val="24"/>
              </w:rPr>
              <w:lastRenderedPageBreak/>
              <w:t>3</w:t>
            </w:r>
          </w:p>
        </w:tc>
        <w:tc>
          <w:tcPr>
            <w:tcW w:w="2127" w:type="dxa"/>
            <w:vAlign w:val="center"/>
          </w:tcPr>
          <w:p w:rsidR="00B36FC4" w:rsidRPr="00627463" w:rsidRDefault="00B36FC4" w:rsidP="00EC404F">
            <w:pPr>
              <w:adjustRightInd w:val="0"/>
              <w:snapToGrid w:val="0"/>
              <w:rPr>
                <w:rFonts w:ascii="仿宋_GB2312" w:eastAsia="仿宋_GB2312"/>
                <w:sz w:val="24"/>
              </w:rPr>
            </w:pPr>
            <w:r w:rsidRPr="00627463">
              <w:rPr>
                <w:rFonts w:ascii="仿宋_GB2312" w:eastAsia="仿宋_GB2312" w:hint="eastAsia"/>
                <w:sz w:val="24"/>
              </w:rPr>
              <w:t>时间、温度控制不当</w:t>
            </w:r>
          </w:p>
        </w:tc>
        <w:tc>
          <w:tcPr>
            <w:tcW w:w="5953" w:type="dxa"/>
            <w:vAlign w:val="center"/>
          </w:tcPr>
          <w:p w:rsidR="00B36FC4" w:rsidRPr="00627463" w:rsidRDefault="00B36FC4" w:rsidP="00EC404F">
            <w:pPr>
              <w:adjustRightInd w:val="0"/>
              <w:snapToGrid w:val="0"/>
              <w:rPr>
                <w:rFonts w:ascii="仿宋_GB2312" w:eastAsia="仿宋_GB2312"/>
                <w:bCs/>
                <w:sz w:val="24"/>
              </w:rPr>
            </w:pPr>
            <w:r w:rsidRPr="00627463">
              <w:rPr>
                <w:rFonts w:ascii="仿宋_GB2312" w:eastAsia="仿宋_GB2312" w:hint="eastAsia"/>
                <w:bCs/>
                <w:sz w:val="24"/>
              </w:rPr>
              <w:t>1、《中华人民共和国食品安全法》第五十四条  食品经营者应当按照保证食品安全的要求贮存食品，定期检查库存食品，及时清理变质或者超过保质期的食品。</w:t>
            </w:r>
          </w:p>
          <w:p w:rsidR="00B36FC4" w:rsidRPr="00627463" w:rsidRDefault="00B36FC4" w:rsidP="00EC404F">
            <w:pPr>
              <w:adjustRightInd w:val="0"/>
              <w:snapToGrid w:val="0"/>
              <w:rPr>
                <w:rFonts w:ascii="仿宋_GB2312" w:eastAsia="仿宋_GB2312"/>
                <w:bCs/>
                <w:sz w:val="24"/>
              </w:rPr>
            </w:pPr>
            <w:r w:rsidRPr="00627463">
              <w:rPr>
                <w:rFonts w:ascii="仿宋_GB2312" w:eastAsia="仿宋_GB2312" w:hint="eastAsia"/>
                <w:bCs/>
                <w:sz w:val="24"/>
              </w:rPr>
              <w:t>2、《餐饮服务食品安全操作规范》（</w:t>
            </w:r>
            <w:r w:rsidRPr="00627463">
              <w:rPr>
                <w:rFonts w:ascii="仿宋_GB2312" w:eastAsia="仿宋_GB2312" w:hAnsi="Calibri"/>
                <w:bCs/>
                <w:sz w:val="24"/>
              </w:rPr>
              <w:t>国食药监食[2011]395号</w:t>
            </w:r>
            <w:r w:rsidRPr="00627463">
              <w:rPr>
                <w:rFonts w:ascii="仿宋_GB2312" w:eastAsia="仿宋_GB2312" w:hint="eastAsia"/>
                <w:bCs/>
                <w:sz w:val="24"/>
              </w:rPr>
              <w:t>）附件</w:t>
            </w:r>
            <w:r w:rsidRPr="00627463">
              <w:rPr>
                <w:rFonts w:ascii="仿宋_GB2312" w:eastAsia="仿宋_GB2312"/>
                <w:bCs/>
                <w:sz w:val="24"/>
              </w:rPr>
              <w:t>4《</w:t>
            </w:r>
            <w:r w:rsidRPr="00627463">
              <w:rPr>
                <w:rFonts w:ascii="仿宋_GB2312" w:eastAsia="仿宋_GB2312" w:hint="eastAsia"/>
                <w:bCs/>
                <w:sz w:val="24"/>
              </w:rPr>
              <w:t>餐饮服务预防食物中毒注意事项》</w:t>
            </w:r>
          </w:p>
          <w:p w:rsidR="00B36FC4" w:rsidRPr="00627463" w:rsidRDefault="00B36FC4" w:rsidP="00EC404F">
            <w:pPr>
              <w:adjustRightInd w:val="0"/>
              <w:snapToGrid w:val="0"/>
              <w:rPr>
                <w:rFonts w:ascii="仿宋_GB2312" w:eastAsia="仿宋_GB2312"/>
                <w:bCs/>
                <w:sz w:val="24"/>
              </w:rPr>
            </w:pPr>
            <w:r w:rsidRPr="00627463">
              <w:rPr>
                <w:rFonts w:ascii="仿宋_GB2312" w:eastAsia="仿宋_GB2312" w:hint="eastAsia"/>
                <w:bCs/>
                <w:sz w:val="24"/>
              </w:rPr>
              <w:t xml:space="preserve">一、（二）细菌性食物中毒常见原因  </w:t>
            </w:r>
            <w:r w:rsidRPr="00627463">
              <w:rPr>
                <w:rFonts w:ascii="仿宋_GB2312" w:eastAsia="仿宋_GB2312"/>
                <w:bCs/>
                <w:sz w:val="24"/>
              </w:rPr>
              <w:t>2.</w:t>
            </w:r>
            <w:r w:rsidRPr="00627463">
              <w:rPr>
                <w:rFonts w:ascii="仿宋_GB2312" w:eastAsia="仿宋_GB2312" w:hint="eastAsia"/>
                <w:bCs/>
                <w:sz w:val="24"/>
              </w:rPr>
              <w:t>食品贮存不当。如熟制高风险食品被长时间存放在</w:t>
            </w:r>
            <w:r w:rsidRPr="00627463">
              <w:rPr>
                <w:rFonts w:ascii="仿宋_GB2312" w:eastAsia="仿宋_GB2312"/>
                <w:bCs/>
                <w:sz w:val="24"/>
              </w:rPr>
              <w:t>10</w:t>
            </w:r>
            <w:r w:rsidRPr="00627463">
              <w:rPr>
                <w:rFonts w:ascii="仿宋_GB2312" w:eastAsia="仿宋_GB2312" w:hint="eastAsia"/>
                <w:bCs/>
                <w:sz w:val="24"/>
              </w:rPr>
              <w:t>℃至</w:t>
            </w:r>
            <w:r w:rsidRPr="00627463">
              <w:rPr>
                <w:rFonts w:ascii="仿宋_GB2312" w:eastAsia="仿宋_GB2312"/>
                <w:bCs/>
                <w:sz w:val="24"/>
              </w:rPr>
              <w:t>60</w:t>
            </w:r>
            <w:r w:rsidRPr="00627463">
              <w:rPr>
                <w:rFonts w:ascii="仿宋_GB2312" w:eastAsia="仿宋_GB2312" w:hint="eastAsia"/>
                <w:bCs/>
                <w:sz w:val="24"/>
              </w:rPr>
              <w:t>℃之间的温度条件下（在此温度下的存放时间应小于</w:t>
            </w:r>
            <w:r w:rsidRPr="00627463">
              <w:rPr>
                <w:rFonts w:ascii="仿宋_GB2312" w:eastAsia="仿宋_GB2312"/>
                <w:bCs/>
                <w:sz w:val="24"/>
              </w:rPr>
              <w:t>2</w:t>
            </w:r>
            <w:r w:rsidRPr="00627463">
              <w:rPr>
                <w:rFonts w:ascii="仿宋_GB2312" w:eastAsia="仿宋_GB2312" w:hint="eastAsia"/>
                <w:bCs/>
                <w:sz w:val="24"/>
              </w:rPr>
              <w:t>小时）</w:t>
            </w:r>
          </w:p>
        </w:tc>
        <w:tc>
          <w:tcPr>
            <w:tcW w:w="5419" w:type="dxa"/>
            <w:vAlign w:val="center"/>
          </w:tcPr>
          <w:p w:rsidR="00B36FC4" w:rsidRPr="00627463" w:rsidRDefault="00B36FC4" w:rsidP="00EC404F">
            <w:pPr>
              <w:adjustRightInd w:val="0"/>
              <w:snapToGrid w:val="0"/>
              <w:rPr>
                <w:rFonts w:ascii="仿宋_GB2312" w:eastAsia="仿宋_GB2312"/>
                <w:sz w:val="24"/>
              </w:rPr>
            </w:pPr>
            <w:r w:rsidRPr="00627463">
              <w:rPr>
                <w:rFonts w:ascii="仿宋_GB2312" w:eastAsia="仿宋_GB2312" w:hint="eastAsia"/>
                <w:bCs/>
                <w:sz w:val="24"/>
              </w:rPr>
              <w:t>《中华人民共和国食品安全法》第一百三十二条  违反本法规定，未按要求进行食品贮存、运输和装卸的，由县级以上人民政府食品药品监督管理等部门按照各自职责分工责令改正，给予警告；拒不改正的，责令停产停业，并处一万元以上五万元以下罚款；情节严重的，吊销许可证。</w:t>
            </w:r>
          </w:p>
        </w:tc>
      </w:tr>
      <w:tr w:rsidR="00B36FC4" w:rsidRPr="004C2150" w:rsidTr="00EC404F">
        <w:trPr>
          <w:trHeight w:val="2968"/>
          <w:jc w:val="center"/>
        </w:trPr>
        <w:tc>
          <w:tcPr>
            <w:tcW w:w="425" w:type="dxa"/>
            <w:vAlign w:val="center"/>
          </w:tcPr>
          <w:p w:rsidR="00B36FC4" w:rsidRPr="00627463" w:rsidRDefault="00B36FC4" w:rsidP="00EC404F">
            <w:pPr>
              <w:adjustRightInd w:val="0"/>
              <w:snapToGrid w:val="0"/>
              <w:jc w:val="center"/>
              <w:rPr>
                <w:rFonts w:ascii="仿宋_GB2312" w:eastAsia="仿宋_GB2312"/>
                <w:sz w:val="24"/>
              </w:rPr>
            </w:pPr>
            <w:r w:rsidRPr="00627463">
              <w:rPr>
                <w:rFonts w:ascii="仿宋_GB2312" w:eastAsia="仿宋_GB2312" w:hint="eastAsia"/>
                <w:sz w:val="24"/>
              </w:rPr>
              <w:t>4</w:t>
            </w:r>
          </w:p>
        </w:tc>
        <w:tc>
          <w:tcPr>
            <w:tcW w:w="2127" w:type="dxa"/>
            <w:vAlign w:val="center"/>
          </w:tcPr>
          <w:p w:rsidR="00B36FC4" w:rsidRPr="00627463" w:rsidRDefault="00B36FC4" w:rsidP="00EC404F">
            <w:pPr>
              <w:adjustRightInd w:val="0"/>
              <w:snapToGrid w:val="0"/>
              <w:rPr>
                <w:rFonts w:ascii="仿宋_GB2312" w:eastAsia="仿宋_GB2312"/>
                <w:sz w:val="24"/>
              </w:rPr>
            </w:pPr>
            <w:r w:rsidRPr="00627463">
              <w:rPr>
                <w:rFonts w:ascii="仿宋_GB2312" w:eastAsia="仿宋_GB2312" w:hint="eastAsia"/>
                <w:sz w:val="24"/>
              </w:rPr>
              <w:t>餐饮具和接触熟食品的容器、工用具不按规定消毒</w:t>
            </w:r>
          </w:p>
        </w:tc>
        <w:tc>
          <w:tcPr>
            <w:tcW w:w="5953" w:type="dxa"/>
            <w:vAlign w:val="center"/>
          </w:tcPr>
          <w:p w:rsidR="00B36FC4" w:rsidRPr="00627463" w:rsidRDefault="00B36FC4" w:rsidP="00EC404F">
            <w:pPr>
              <w:adjustRightInd w:val="0"/>
              <w:snapToGrid w:val="0"/>
              <w:rPr>
                <w:rFonts w:ascii="仿宋_GB2312" w:eastAsia="仿宋_GB2312"/>
                <w:bCs/>
                <w:sz w:val="24"/>
              </w:rPr>
            </w:pPr>
            <w:r w:rsidRPr="00627463">
              <w:rPr>
                <w:rFonts w:ascii="仿宋_GB2312" w:eastAsia="仿宋_GB2312" w:hint="eastAsia"/>
                <w:bCs/>
                <w:sz w:val="24"/>
              </w:rPr>
              <w:t>《上海市食品安全条例》第三十八条  餐饮服务提供者提供餐饮服务时应当符合下列要求：</w:t>
            </w:r>
          </w:p>
          <w:p w:rsidR="00B36FC4" w:rsidRPr="00627463" w:rsidRDefault="00B36FC4" w:rsidP="00EC404F">
            <w:pPr>
              <w:adjustRightInd w:val="0"/>
              <w:snapToGrid w:val="0"/>
              <w:rPr>
                <w:rFonts w:ascii="仿宋_GB2312" w:eastAsia="仿宋_GB2312"/>
                <w:bCs/>
                <w:sz w:val="24"/>
              </w:rPr>
            </w:pPr>
            <w:r w:rsidRPr="00627463">
              <w:rPr>
                <w:rFonts w:ascii="仿宋_GB2312" w:eastAsia="仿宋_GB2312" w:hint="eastAsia"/>
                <w:bCs/>
                <w:sz w:val="24"/>
              </w:rPr>
              <w:t>（三）根据消费者的要求，提供公筷、</w:t>
            </w:r>
            <w:proofErr w:type="gramStart"/>
            <w:r w:rsidRPr="00627463">
              <w:rPr>
                <w:rFonts w:ascii="仿宋_GB2312" w:eastAsia="仿宋_GB2312" w:hint="eastAsia"/>
                <w:bCs/>
                <w:sz w:val="24"/>
              </w:rPr>
              <w:t>公匙等</w:t>
            </w:r>
            <w:proofErr w:type="gramEnd"/>
            <w:r w:rsidRPr="00627463">
              <w:rPr>
                <w:rFonts w:ascii="仿宋_GB2312" w:eastAsia="仿宋_GB2312" w:hint="eastAsia"/>
                <w:bCs/>
                <w:sz w:val="24"/>
              </w:rPr>
              <w:t>公用餐具；不得向消费者提供不符合食品安全标准和要求的餐具、饮具；</w:t>
            </w:r>
          </w:p>
        </w:tc>
        <w:tc>
          <w:tcPr>
            <w:tcW w:w="5419" w:type="dxa"/>
            <w:vAlign w:val="center"/>
          </w:tcPr>
          <w:p w:rsidR="00B36FC4" w:rsidRPr="00627463" w:rsidRDefault="00B36FC4" w:rsidP="00EC404F">
            <w:pPr>
              <w:adjustRightInd w:val="0"/>
              <w:snapToGrid w:val="0"/>
              <w:rPr>
                <w:rFonts w:ascii="仿宋_GB2312" w:eastAsia="仿宋_GB2312"/>
                <w:bCs/>
                <w:sz w:val="24"/>
              </w:rPr>
            </w:pPr>
            <w:r w:rsidRPr="00627463">
              <w:rPr>
                <w:rFonts w:ascii="仿宋_GB2312" w:eastAsia="仿宋_GB2312" w:hint="eastAsia"/>
                <w:bCs/>
                <w:sz w:val="24"/>
              </w:rPr>
              <w:t>《上海市食品安全条例》第九十四条  违反本条例第二十七条、第三十一条、第三十二条、第三十六条、第三十八条规定，有下列情形之一的，由市食品药品监督管理部门或者区市场监督管理部门责令改正，给予警告；拒不改正的，处五千元以上五万元以下罚款；情节严重的，责令停产停业，直至吊销许可证或者准许生产证：</w:t>
            </w:r>
          </w:p>
          <w:p w:rsidR="00B36FC4" w:rsidRPr="00627463" w:rsidRDefault="00B36FC4" w:rsidP="00EC404F">
            <w:pPr>
              <w:adjustRightInd w:val="0"/>
              <w:snapToGrid w:val="0"/>
              <w:rPr>
                <w:rFonts w:ascii="仿宋_GB2312" w:eastAsia="仿宋_GB2312"/>
                <w:bCs/>
                <w:sz w:val="24"/>
              </w:rPr>
            </w:pPr>
            <w:r w:rsidRPr="00627463">
              <w:rPr>
                <w:rFonts w:ascii="仿宋_GB2312" w:eastAsia="仿宋_GB2312" w:hint="eastAsia"/>
                <w:bCs/>
                <w:sz w:val="24"/>
              </w:rPr>
              <w:t>（七）餐饮服务提供者向消费者提供不符合有关食品安全标准和要求的餐具、饮具的。</w:t>
            </w:r>
          </w:p>
        </w:tc>
      </w:tr>
      <w:tr w:rsidR="00B36FC4" w:rsidRPr="004C2150" w:rsidTr="00EC404F">
        <w:trPr>
          <w:trHeight w:val="2259"/>
          <w:jc w:val="center"/>
        </w:trPr>
        <w:tc>
          <w:tcPr>
            <w:tcW w:w="425" w:type="dxa"/>
            <w:vAlign w:val="center"/>
          </w:tcPr>
          <w:p w:rsidR="00B36FC4" w:rsidRPr="00627463" w:rsidRDefault="00B36FC4" w:rsidP="00EC404F">
            <w:pPr>
              <w:adjustRightInd w:val="0"/>
              <w:snapToGrid w:val="0"/>
              <w:jc w:val="center"/>
              <w:rPr>
                <w:rFonts w:ascii="仿宋_GB2312" w:eastAsia="仿宋_GB2312"/>
                <w:sz w:val="24"/>
              </w:rPr>
            </w:pPr>
            <w:r w:rsidRPr="00627463">
              <w:rPr>
                <w:rFonts w:ascii="仿宋_GB2312" w:eastAsia="仿宋_GB2312" w:hint="eastAsia"/>
                <w:sz w:val="24"/>
              </w:rPr>
              <w:t>5</w:t>
            </w:r>
          </w:p>
        </w:tc>
        <w:tc>
          <w:tcPr>
            <w:tcW w:w="2127" w:type="dxa"/>
            <w:vAlign w:val="center"/>
          </w:tcPr>
          <w:p w:rsidR="00B36FC4" w:rsidRPr="00627463" w:rsidRDefault="00B36FC4" w:rsidP="00EC404F">
            <w:pPr>
              <w:adjustRightInd w:val="0"/>
              <w:snapToGrid w:val="0"/>
              <w:rPr>
                <w:rFonts w:ascii="仿宋_GB2312" w:eastAsia="仿宋_GB2312"/>
                <w:sz w:val="24"/>
              </w:rPr>
            </w:pPr>
            <w:r w:rsidRPr="00627463">
              <w:rPr>
                <w:rFonts w:ascii="仿宋_GB2312" w:eastAsia="仿宋_GB2312" w:hint="eastAsia"/>
                <w:sz w:val="24"/>
              </w:rPr>
              <w:t>供生食的蔬菜、水果不消毒</w:t>
            </w:r>
          </w:p>
        </w:tc>
        <w:tc>
          <w:tcPr>
            <w:tcW w:w="5953" w:type="dxa"/>
            <w:vAlign w:val="center"/>
          </w:tcPr>
          <w:p w:rsidR="00B36FC4" w:rsidRPr="00627463" w:rsidRDefault="00B36FC4" w:rsidP="00EC404F">
            <w:pPr>
              <w:adjustRightInd w:val="0"/>
              <w:snapToGrid w:val="0"/>
              <w:rPr>
                <w:rFonts w:ascii="仿宋_GB2312" w:eastAsia="仿宋_GB2312"/>
                <w:sz w:val="24"/>
              </w:rPr>
            </w:pPr>
            <w:r w:rsidRPr="00627463">
              <w:rPr>
                <w:rFonts w:ascii="仿宋_GB2312" w:eastAsia="仿宋_GB2312" w:hint="eastAsia"/>
                <w:bCs/>
                <w:sz w:val="24"/>
              </w:rPr>
              <w:t>《中华人民共和国食品安全法》第五十五条　餐饮服务提供者应当制定并实施原料控制要求，不得采购不符合食品安全标准的食品原料。</w:t>
            </w:r>
          </w:p>
        </w:tc>
        <w:tc>
          <w:tcPr>
            <w:tcW w:w="5419" w:type="dxa"/>
            <w:vAlign w:val="center"/>
          </w:tcPr>
          <w:p w:rsidR="00B36FC4" w:rsidRPr="00627463" w:rsidRDefault="00B36FC4" w:rsidP="00EC404F">
            <w:pPr>
              <w:adjustRightInd w:val="0"/>
              <w:snapToGrid w:val="0"/>
              <w:rPr>
                <w:rFonts w:ascii="仿宋_GB2312" w:eastAsia="仿宋_GB2312"/>
                <w:bCs/>
                <w:sz w:val="24"/>
              </w:rPr>
            </w:pPr>
            <w:r w:rsidRPr="00627463">
              <w:rPr>
                <w:rFonts w:ascii="仿宋_GB2312" w:eastAsia="仿宋_GB2312" w:hint="eastAsia"/>
                <w:bCs/>
                <w:sz w:val="24"/>
              </w:rPr>
              <w:t>《中华人民共和国食品安全法》第一百二十六条  违反本法规定，有下列情形之一的，由县级以上人民政府食品药品监督管理部门责令改正，给予警告；拒不改正的，处五千元以上五万元以下罚款；情节严重的，责令停产停业，直至吊销许可证：</w:t>
            </w:r>
          </w:p>
          <w:p w:rsidR="00B36FC4" w:rsidRPr="00627463" w:rsidRDefault="00B36FC4" w:rsidP="00EC404F">
            <w:pPr>
              <w:adjustRightInd w:val="0"/>
              <w:snapToGrid w:val="0"/>
              <w:rPr>
                <w:rFonts w:ascii="仿宋_GB2312" w:eastAsia="仿宋_GB2312"/>
                <w:sz w:val="24"/>
              </w:rPr>
            </w:pPr>
            <w:r w:rsidRPr="00627463">
              <w:rPr>
                <w:rFonts w:ascii="仿宋_GB2312" w:eastAsia="仿宋_GB2312" w:hint="eastAsia"/>
                <w:bCs/>
                <w:sz w:val="24"/>
              </w:rPr>
              <w:t>（十三）食品生产企业、餐饮服务提供者未按规定制定、实施生产经营过程控制要求。</w:t>
            </w:r>
          </w:p>
        </w:tc>
      </w:tr>
      <w:tr w:rsidR="00B36FC4" w:rsidRPr="004C2150" w:rsidTr="00EC404F">
        <w:trPr>
          <w:jc w:val="center"/>
        </w:trPr>
        <w:tc>
          <w:tcPr>
            <w:tcW w:w="425" w:type="dxa"/>
            <w:vAlign w:val="center"/>
          </w:tcPr>
          <w:p w:rsidR="00B36FC4" w:rsidRPr="00627463" w:rsidRDefault="00B36FC4" w:rsidP="00EC404F">
            <w:pPr>
              <w:adjustRightInd w:val="0"/>
              <w:snapToGrid w:val="0"/>
              <w:jc w:val="center"/>
              <w:rPr>
                <w:rFonts w:ascii="仿宋_GB2312" w:eastAsia="仿宋_GB2312"/>
                <w:sz w:val="24"/>
              </w:rPr>
            </w:pPr>
            <w:r w:rsidRPr="00627463">
              <w:rPr>
                <w:rFonts w:ascii="仿宋_GB2312" w:eastAsia="仿宋_GB2312" w:hint="eastAsia"/>
                <w:sz w:val="24"/>
              </w:rPr>
              <w:lastRenderedPageBreak/>
              <w:t>6</w:t>
            </w:r>
          </w:p>
        </w:tc>
        <w:tc>
          <w:tcPr>
            <w:tcW w:w="2127" w:type="dxa"/>
            <w:vAlign w:val="center"/>
          </w:tcPr>
          <w:p w:rsidR="00B36FC4" w:rsidRPr="00627463" w:rsidRDefault="00B36FC4" w:rsidP="00EC404F">
            <w:pPr>
              <w:adjustRightInd w:val="0"/>
              <w:snapToGrid w:val="0"/>
              <w:rPr>
                <w:rFonts w:ascii="仿宋_GB2312" w:eastAsia="仿宋_GB2312"/>
                <w:sz w:val="24"/>
              </w:rPr>
            </w:pPr>
            <w:r w:rsidRPr="00627463">
              <w:rPr>
                <w:rFonts w:ascii="仿宋_GB2312" w:eastAsia="仿宋_GB2312" w:hint="eastAsia"/>
                <w:sz w:val="24"/>
              </w:rPr>
              <w:t>采购无许可资质食品原料</w:t>
            </w:r>
          </w:p>
        </w:tc>
        <w:tc>
          <w:tcPr>
            <w:tcW w:w="5953" w:type="dxa"/>
            <w:vAlign w:val="center"/>
          </w:tcPr>
          <w:p w:rsidR="00B36FC4" w:rsidRPr="00627463" w:rsidRDefault="00B36FC4" w:rsidP="00EC404F">
            <w:pPr>
              <w:rPr>
                <w:rFonts w:ascii="仿宋_GB2312" w:eastAsia="仿宋_GB2312"/>
                <w:sz w:val="24"/>
              </w:rPr>
            </w:pPr>
            <w:r w:rsidRPr="00627463">
              <w:rPr>
                <w:rFonts w:ascii="仿宋_GB2312" w:eastAsia="仿宋_GB2312" w:hint="eastAsia"/>
                <w:sz w:val="24"/>
              </w:rPr>
              <w:t>《上海市食品安全条例》第二十三条  食品生产经营者采购食品、食品添加剂、食品相关产品，应当查验供货者的相关许可证件，不得向下列生产经营者采购食品、食品添加剂、食品相关产品用于生产经营：</w:t>
            </w:r>
          </w:p>
          <w:p w:rsidR="00B36FC4" w:rsidRPr="00627463" w:rsidRDefault="00B36FC4" w:rsidP="00EC404F">
            <w:pPr>
              <w:adjustRightInd w:val="0"/>
              <w:snapToGrid w:val="0"/>
              <w:rPr>
                <w:rFonts w:ascii="仿宋_GB2312" w:eastAsia="仿宋_GB2312"/>
                <w:sz w:val="24"/>
              </w:rPr>
            </w:pPr>
            <w:r w:rsidRPr="00627463">
              <w:rPr>
                <w:rFonts w:ascii="仿宋_GB2312" w:eastAsia="仿宋_GB2312" w:hint="eastAsia"/>
                <w:sz w:val="24"/>
              </w:rPr>
              <w:t>（一）未依法取得相关许可证件或者相关许可证件超过有效期限的生产经营者；</w:t>
            </w:r>
          </w:p>
        </w:tc>
        <w:tc>
          <w:tcPr>
            <w:tcW w:w="5419" w:type="dxa"/>
            <w:vAlign w:val="center"/>
          </w:tcPr>
          <w:p w:rsidR="00B36FC4" w:rsidRPr="00627463" w:rsidRDefault="00B36FC4" w:rsidP="00EC404F">
            <w:pPr>
              <w:adjustRightInd w:val="0"/>
              <w:snapToGrid w:val="0"/>
              <w:rPr>
                <w:rFonts w:ascii="仿宋_GB2312" w:eastAsia="仿宋_GB2312"/>
                <w:sz w:val="24"/>
              </w:rPr>
            </w:pPr>
            <w:r w:rsidRPr="00627463">
              <w:rPr>
                <w:rFonts w:ascii="仿宋_GB2312" w:eastAsia="仿宋_GB2312" w:hint="eastAsia"/>
                <w:sz w:val="24"/>
              </w:rPr>
              <w:t>《上海市食品安全条例》第九十一条  违反本条例第二十三条规定，食品生产经营者向下列生产经营者采购食品、食品添加剂用于生产经营的，由市食品药品监督管理部门或者区市场监督管理部门没收违法采购和生产经营的食品、食品添加剂，并处五千元以上五万元以下罚款；情节严重的，责令停产停业，直至吊销许可证或者准许生产证：</w:t>
            </w:r>
          </w:p>
          <w:p w:rsidR="00B36FC4" w:rsidRPr="00627463" w:rsidRDefault="00B36FC4" w:rsidP="00EC404F">
            <w:pPr>
              <w:adjustRightInd w:val="0"/>
              <w:snapToGrid w:val="0"/>
              <w:rPr>
                <w:rFonts w:ascii="仿宋_GB2312" w:eastAsia="仿宋_GB2312"/>
                <w:sz w:val="24"/>
              </w:rPr>
            </w:pPr>
            <w:r w:rsidRPr="00627463">
              <w:rPr>
                <w:rFonts w:ascii="仿宋_GB2312" w:eastAsia="仿宋_GB2312" w:hint="eastAsia"/>
                <w:sz w:val="24"/>
              </w:rPr>
              <w:t>（一）未依法取得相关许可证件或者相关许可证件超过有效期限的生产经营者。</w:t>
            </w:r>
          </w:p>
        </w:tc>
      </w:tr>
    </w:tbl>
    <w:p w:rsidR="00B36FC4" w:rsidRDefault="00B36FC4" w:rsidP="00B36FC4">
      <w:pPr>
        <w:adjustRightInd w:val="0"/>
        <w:snapToGrid w:val="0"/>
        <w:spacing w:line="360" w:lineRule="auto"/>
        <w:jc w:val="left"/>
        <w:rPr>
          <w:rFonts w:ascii="仿宋_GB2312" w:eastAsia="仿宋_GB2312"/>
          <w:sz w:val="32"/>
          <w:szCs w:val="32"/>
        </w:rPr>
      </w:pPr>
    </w:p>
    <w:p w:rsidR="00B36FC4" w:rsidRPr="00627463" w:rsidRDefault="00B36FC4" w:rsidP="00B36FC4">
      <w:pPr>
        <w:widowControl/>
        <w:jc w:val="left"/>
        <w:rPr>
          <w:rFonts w:ascii="黑体" w:eastAsia="黑体"/>
          <w:sz w:val="32"/>
          <w:szCs w:val="32"/>
        </w:rPr>
      </w:pPr>
      <w:r>
        <w:rPr>
          <w:rFonts w:ascii="仿宋_GB2312" w:eastAsia="仿宋_GB2312"/>
          <w:sz w:val="32"/>
          <w:szCs w:val="32"/>
        </w:rPr>
        <w:br w:type="page"/>
      </w:r>
      <w:r w:rsidRPr="00627463">
        <w:rPr>
          <w:rFonts w:ascii="黑体" w:eastAsia="黑体" w:hint="eastAsia"/>
          <w:sz w:val="32"/>
          <w:szCs w:val="32"/>
        </w:rPr>
        <w:lastRenderedPageBreak/>
        <w:t>附件2</w:t>
      </w:r>
    </w:p>
    <w:p w:rsidR="00B36FC4" w:rsidRPr="00627463" w:rsidRDefault="00B36FC4" w:rsidP="00B36FC4">
      <w:pPr>
        <w:pStyle w:val="1"/>
        <w:jc w:val="center"/>
        <w:rPr>
          <w:rFonts w:ascii="方正小标宋简体" w:eastAsia="方正小标宋简体"/>
          <w:b w:val="0"/>
          <w:sz w:val="40"/>
        </w:rPr>
      </w:pPr>
      <w:r w:rsidRPr="00627463">
        <w:rPr>
          <w:rFonts w:ascii="方正小标宋简体" w:eastAsia="方正小标宋简体" w:hint="eastAsia"/>
          <w:b w:val="0"/>
          <w:sz w:val="40"/>
        </w:rPr>
        <w:t>___________区餐饮环节食品安全风险隐患排查整治工作情况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240"/>
        <w:gridCol w:w="2025"/>
        <w:gridCol w:w="2025"/>
        <w:gridCol w:w="2025"/>
        <w:gridCol w:w="2025"/>
        <w:gridCol w:w="2025"/>
      </w:tblGrid>
      <w:tr w:rsidR="00B36FC4" w:rsidTr="00EC404F">
        <w:tc>
          <w:tcPr>
            <w:tcW w:w="1809" w:type="dxa"/>
            <w:vAlign w:val="center"/>
          </w:tcPr>
          <w:p w:rsidR="00B36FC4" w:rsidRPr="00627463" w:rsidRDefault="00B36FC4" w:rsidP="00EC404F">
            <w:pPr>
              <w:adjustRightInd w:val="0"/>
              <w:jc w:val="center"/>
              <w:rPr>
                <w:rFonts w:ascii="仿宋_GB2312" w:eastAsia="仿宋_GB2312"/>
                <w:sz w:val="32"/>
                <w:szCs w:val="32"/>
              </w:rPr>
            </w:pPr>
            <w:r w:rsidRPr="00627463">
              <w:rPr>
                <w:rFonts w:ascii="仿宋_GB2312" w:eastAsia="仿宋_GB2312" w:hint="eastAsia"/>
                <w:sz w:val="32"/>
                <w:szCs w:val="32"/>
              </w:rPr>
              <w:t>检查餐饮单位数</w:t>
            </w:r>
          </w:p>
        </w:tc>
        <w:tc>
          <w:tcPr>
            <w:tcW w:w="2240" w:type="dxa"/>
            <w:vAlign w:val="center"/>
          </w:tcPr>
          <w:p w:rsidR="00B36FC4" w:rsidRPr="00627463" w:rsidRDefault="00B36FC4" w:rsidP="00EC404F">
            <w:pPr>
              <w:adjustRightInd w:val="0"/>
              <w:jc w:val="center"/>
              <w:rPr>
                <w:rFonts w:ascii="仿宋_GB2312" w:eastAsia="仿宋_GB2312"/>
                <w:sz w:val="32"/>
                <w:szCs w:val="32"/>
              </w:rPr>
            </w:pPr>
            <w:r w:rsidRPr="00627463">
              <w:rPr>
                <w:rFonts w:ascii="仿宋_GB2312" w:eastAsia="仿宋_GB2312" w:hint="eastAsia"/>
                <w:sz w:val="32"/>
                <w:szCs w:val="32"/>
              </w:rPr>
              <w:t>发现存在高风险违法行为餐饮单位数</w:t>
            </w:r>
          </w:p>
        </w:tc>
        <w:tc>
          <w:tcPr>
            <w:tcW w:w="2025" w:type="dxa"/>
            <w:vAlign w:val="center"/>
          </w:tcPr>
          <w:p w:rsidR="00B36FC4" w:rsidRPr="00627463" w:rsidRDefault="00B36FC4" w:rsidP="00EC404F">
            <w:pPr>
              <w:adjustRightInd w:val="0"/>
              <w:jc w:val="center"/>
              <w:rPr>
                <w:rFonts w:ascii="仿宋_GB2312" w:eastAsia="仿宋_GB2312"/>
                <w:sz w:val="32"/>
                <w:szCs w:val="32"/>
              </w:rPr>
            </w:pPr>
            <w:r w:rsidRPr="00627463">
              <w:rPr>
                <w:rFonts w:ascii="仿宋_GB2312" w:eastAsia="仿宋_GB2312" w:hint="eastAsia"/>
                <w:sz w:val="32"/>
                <w:szCs w:val="32"/>
              </w:rPr>
              <w:t>发现高风险违法行为项次数</w:t>
            </w:r>
          </w:p>
        </w:tc>
        <w:tc>
          <w:tcPr>
            <w:tcW w:w="2025" w:type="dxa"/>
            <w:vAlign w:val="center"/>
          </w:tcPr>
          <w:p w:rsidR="00B36FC4" w:rsidRPr="00627463" w:rsidRDefault="00B36FC4" w:rsidP="00EC404F">
            <w:pPr>
              <w:adjustRightInd w:val="0"/>
              <w:jc w:val="center"/>
              <w:rPr>
                <w:rFonts w:ascii="仿宋_GB2312" w:eastAsia="仿宋_GB2312"/>
                <w:sz w:val="32"/>
                <w:szCs w:val="32"/>
              </w:rPr>
            </w:pPr>
            <w:r w:rsidRPr="00627463">
              <w:rPr>
                <w:rFonts w:ascii="仿宋_GB2312" w:eastAsia="仿宋_GB2312" w:hint="eastAsia"/>
                <w:sz w:val="32"/>
                <w:szCs w:val="32"/>
              </w:rPr>
              <w:t>实施行政处罚单位数（以立案计）</w:t>
            </w:r>
          </w:p>
        </w:tc>
        <w:tc>
          <w:tcPr>
            <w:tcW w:w="2025" w:type="dxa"/>
            <w:vAlign w:val="center"/>
          </w:tcPr>
          <w:p w:rsidR="00B36FC4" w:rsidRPr="00627463" w:rsidRDefault="00B36FC4" w:rsidP="00EC404F">
            <w:pPr>
              <w:adjustRightInd w:val="0"/>
              <w:jc w:val="center"/>
              <w:rPr>
                <w:rFonts w:ascii="仿宋_GB2312" w:eastAsia="仿宋_GB2312"/>
                <w:sz w:val="32"/>
                <w:szCs w:val="32"/>
              </w:rPr>
            </w:pPr>
            <w:r w:rsidRPr="00627463">
              <w:rPr>
                <w:rFonts w:ascii="仿宋_GB2312" w:eastAsia="仿宋_GB2312" w:hint="eastAsia"/>
                <w:sz w:val="32"/>
                <w:szCs w:val="32"/>
              </w:rPr>
              <w:t>责令停止经营、销毁食品单位数</w:t>
            </w:r>
          </w:p>
        </w:tc>
        <w:tc>
          <w:tcPr>
            <w:tcW w:w="2025" w:type="dxa"/>
            <w:vAlign w:val="center"/>
          </w:tcPr>
          <w:p w:rsidR="00B36FC4" w:rsidRPr="00627463" w:rsidRDefault="00B36FC4" w:rsidP="00EC404F">
            <w:pPr>
              <w:adjustRightInd w:val="0"/>
              <w:jc w:val="center"/>
              <w:rPr>
                <w:rFonts w:ascii="仿宋_GB2312" w:eastAsia="仿宋_GB2312"/>
                <w:sz w:val="32"/>
                <w:szCs w:val="32"/>
              </w:rPr>
            </w:pPr>
            <w:r w:rsidRPr="00627463">
              <w:rPr>
                <w:rFonts w:ascii="仿宋_GB2312" w:eastAsia="仿宋_GB2312" w:hint="eastAsia"/>
                <w:sz w:val="32"/>
                <w:szCs w:val="32"/>
              </w:rPr>
              <w:t>采取查封措施单位数</w:t>
            </w:r>
          </w:p>
        </w:tc>
        <w:tc>
          <w:tcPr>
            <w:tcW w:w="2025" w:type="dxa"/>
            <w:vAlign w:val="center"/>
          </w:tcPr>
          <w:p w:rsidR="00B36FC4" w:rsidRPr="00627463" w:rsidRDefault="00B36FC4" w:rsidP="00EC404F">
            <w:pPr>
              <w:adjustRightInd w:val="0"/>
              <w:jc w:val="center"/>
              <w:rPr>
                <w:rFonts w:ascii="仿宋_GB2312" w:eastAsia="仿宋_GB2312"/>
                <w:sz w:val="32"/>
                <w:szCs w:val="32"/>
              </w:rPr>
            </w:pPr>
            <w:r w:rsidRPr="00627463">
              <w:rPr>
                <w:rFonts w:ascii="仿宋_GB2312" w:eastAsia="仿宋_GB2312" w:hint="eastAsia"/>
                <w:sz w:val="32"/>
                <w:szCs w:val="32"/>
              </w:rPr>
              <w:t>移送公安机关案件数</w:t>
            </w:r>
          </w:p>
        </w:tc>
      </w:tr>
      <w:tr w:rsidR="00B36FC4" w:rsidTr="00EC404F">
        <w:trPr>
          <w:trHeight w:val="1172"/>
        </w:trPr>
        <w:tc>
          <w:tcPr>
            <w:tcW w:w="1809" w:type="dxa"/>
          </w:tcPr>
          <w:p w:rsidR="00B36FC4" w:rsidRPr="00627463" w:rsidRDefault="00B36FC4" w:rsidP="00EC404F">
            <w:pPr>
              <w:adjustRightInd w:val="0"/>
              <w:snapToGrid w:val="0"/>
              <w:spacing w:line="360" w:lineRule="auto"/>
              <w:jc w:val="left"/>
              <w:rPr>
                <w:rFonts w:ascii="仿宋_GB2312" w:eastAsia="仿宋_GB2312"/>
                <w:sz w:val="32"/>
                <w:szCs w:val="32"/>
              </w:rPr>
            </w:pPr>
          </w:p>
        </w:tc>
        <w:tc>
          <w:tcPr>
            <w:tcW w:w="2240" w:type="dxa"/>
          </w:tcPr>
          <w:p w:rsidR="00B36FC4" w:rsidRPr="00627463" w:rsidRDefault="00B36FC4" w:rsidP="00EC404F">
            <w:pPr>
              <w:adjustRightInd w:val="0"/>
              <w:snapToGrid w:val="0"/>
              <w:spacing w:line="360" w:lineRule="auto"/>
              <w:jc w:val="left"/>
              <w:rPr>
                <w:rFonts w:ascii="仿宋_GB2312" w:eastAsia="仿宋_GB2312"/>
                <w:sz w:val="32"/>
                <w:szCs w:val="32"/>
              </w:rPr>
            </w:pPr>
          </w:p>
        </w:tc>
        <w:tc>
          <w:tcPr>
            <w:tcW w:w="2025" w:type="dxa"/>
          </w:tcPr>
          <w:p w:rsidR="00B36FC4" w:rsidRPr="00627463" w:rsidRDefault="00B36FC4" w:rsidP="00EC404F">
            <w:pPr>
              <w:adjustRightInd w:val="0"/>
              <w:snapToGrid w:val="0"/>
              <w:spacing w:line="360" w:lineRule="auto"/>
              <w:jc w:val="left"/>
              <w:rPr>
                <w:rFonts w:ascii="仿宋_GB2312" w:eastAsia="仿宋_GB2312"/>
                <w:sz w:val="32"/>
                <w:szCs w:val="32"/>
              </w:rPr>
            </w:pPr>
          </w:p>
        </w:tc>
        <w:tc>
          <w:tcPr>
            <w:tcW w:w="2025" w:type="dxa"/>
          </w:tcPr>
          <w:p w:rsidR="00B36FC4" w:rsidRPr="00627463" w:rsidRDefault="00B36FC4" w:rsidP="00EC404F">
            <w:pPr>
              <w:adjustRightInd w:val="0"/>
              <w:snapToGrid w:val="0"/>
              <w:spacing w:line="360" w:lineRule="auto"/>
              <w:jc w:val="left"/>
              <w:rPr>
                <w:rFonts w:ascii="仿宋_GB2312" w:eastAsia="仿宋_GB2312"/>
                <w:sz w:val="32"/>
                <w:szCs w:val="32"/>
              </w:rPr>
            </w:pPr>
          </w:p>
        </w:tc>
        <w:tc>
          <w:tcPr>
            <w:tcW w:w="2025" w:type="dxa"/>
          </w:tcPr>
          <w:p w:rsidR="00B36FC4" w:rsidRPr="00627463" w:rsidRDefault="00B36FC4" w:rsidP="00EC404F">
            <w:pPr>
              <w:adjustRightInd w:val="0"/>
              <w:snapToGrid w:val="0"/>
              <w:spacing w:line="360" w:lineRule="auto"/>
              <w:jc w:val="left"/>
              <w:rPr>
                <w:rFonts w:ascii="仿宋_GB2312" w:eastAsia="仿宋_GB2312"/>
                <w:sz w:val="32"/>
                <w:szCs w:val="32"/>
              </w:rPr>
            </w:pPr>
          </w:p>
        </w:tc>
        <w:tc>
          <w:tcPr>
            <w:tcW w:w="2025" w:type="dxa"/>
          </w:tcPr>
          <w:p w:rsidR="00B36FC4" w:rsidRPr="00627463" w:rsidRDefault="00B36FC4" w:rsidP="00EC404F">
            <w:pPr>
              <w:adjustRightInd w:val="0"/>
              <w:snapToGrid w:val="0"/>
              <w:spacing w:line="360" w:lineRule="auto"/>
              <w:jc w:val="left"/>
              <w:rPr>
                <w:rFonts w:ascii="仿宋_GB2312" w:eastAsia="仿宋_GB2312"/>
                <w:sz w:val="32"/>
                <w:szCs w:val="32"/>
              </w:rPr>
            </w:pPr>
          </w:p>
        </w:tc>
        <w:tc>
          <w:tcPr>
            <w:tcW w:w="2025" w:type="dxa"/>
          </w:tcPr>
          <w:p w:rsidR="00B36FC4" w:rsidRPr="00627463" w:rsidRDefault="00B36FC4" w:rsidP="00EC404F">
            <w:pPr>
              <w:adjustRightInd w:val="0"/>
              <w:snapToGrid w:val="0"/>
              <w:spacing w:line="360" w:lineRule="auto"/>
              <w:jc w:val="left"/>
              <w:rPr>
                <w:rFonts w:ascii="仿宋_GB2312" w:eastAsia="仿宋_GB2312"/>
                <w:sz w:val="32"/>
                <w:szCs w:val="32"/>
              </w:rPr>
            </w:pPr>
          </w:p>
        </w:tc>
      </w:tr>
    </w:tbl>
    <w:p w:rsidR="00B36FC4" w:rsidRPr="005057A1" w:rsidRDefault="00B36FC4" w:rsidP="00B36FC4">
      <w:pPr>
        <w:spacing w:beforeLines="100" w:before="312"/>
        <w:ind w:firstLineChars="50" w:firstLine="160"/>
        <w:rPr>
          <w:rFonts w:ascii="仿宋_GB2312" w:eastAsia="仿宋_GB2312"/>
          <w:sz w:val="32"/>
          <w:szCs w:val="32"/>
        </w:rPr>
      </w:pPr>
      <w:r w:rsidRPr="00150E09">
        <w:rPr>
          <w:rFonts w:ascii="仿宋_GB2312" w:eastAsia="仿宋_GB2312" w:hint="eastAsia"/>
          <w:sz w:val="32"/>
          <w:szCs w:val="32"/>
        </w:rPr>
        <w:t>填报人：                     联系方式:                           填报时间：</w:t>
      </w:r>
      <w:r w:rsidRPr="005057A1">
        <w:rPr>
          <w:rFonts w:ascii="仿宋_GB2312" w:eastAsia="仿宋_GB2312" w:hint="eastAsia"/>
          <w:sz w:val="32"/>
          <w:szCs w:val="32"/>
        </w:rPr>
        <w:t xml:space="preserve">  </w:t>
      </w:r>
      <w:r>
        <w:rPr>
          <w:rFonts w:ascii="仿宋_GB2312" w:eastAsia="仿宋_GB2312" w:hint="eastAsia"/>
          <w:sz w:val="32"/>
          <w:szCs w:val="32"/>
        </w:rPr>
        <w:t xml:space="preserve">      </w:t>
      </w:r>
    </w:p>
    <w:p w:rsidR="00B36FC4" w:rsidRPr="0044480F" w:rsidRDefault="00B36FC4" w:rsidP="00B36FC4">
      <w:pPr>
        <w:adjustRightInd w:val="0"/>
        <w:snapToGrid w:val="0"/>
        <w:spacing w:line="360" w:lineRule="auto"/>
        <w:jc w:val="left"/>
        <w:rPr>
          <w:rFonts w:ascii="仿宋_GB2312" w:eastAsia="仿宋_GB2312"/>
          <w:sz w:val="32"/>
          <w:szCs w:val="32"/>
        </w:rPr>
      </w:pPr>
    </w:p>
    <w:p w:rsidR="00B36FC4" w:rsidRPr="00627463" w:rsidRDefault="00B36FC4" w:rsidP="00B36FC4">
      <w:pPr>
        <w:spacing w:line="360" w:lineRule="exact"/>
        <w:ind w:rightChars="37" w:right="78"/>
        <w:rPr>
          <w:rFonts w:ascii="仿宋_GB2312" w:eastAsia="仿宋_GB2312"/>
          <w:color w:val="000000"/>
          <w:sz w:val="28"/>
          <w:szCs w:val="28"/>
        </w:rPr>
      </w:pPr>
    </w:p>
    <w:p w:rsidR="00675A89" w:rsidRPr="00B36FC4" w:rsidRDefault="00675A89">
      <w:bookmarkStart w:id="0" w:name="_GoBack"/>
      <w:bookmarkEnd w:id="0"/>
    </w:p>
    <w:sectPr w:rsidR="00675A89" w:rsidRPr="00B36FC4" w:rsidSect="00627463">
      <w:pgSz w:w="16838" w:h="11906" w:orient="landscape"/>
      <w:pgMar w:top="1418" w:right="1440" w:bottom="1418" w:left="144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C4"/>
    <w:rsid w:val="001E64CF"/>
    <w:rsid w:val="00675A89"/>
    <w:rsid w:val="00B36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FC4"/>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B36FC4"/>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1"/>
    <w:basedOn w:val="a"/>
    <w:link w:val="1Char0"/>
    <w:qFormat/>
    <w:rsid w:val="001E64CF"/>
    <w:pPr>
      <w:jc w:val="left"/>
    </w:pPr>
    <w:rPr>
      <w:rFonts w:asciiTheme="minorEastAsia" w:eastAsiaTheme="minorEastAsia" w:hAnsiTheme="minorEastAsia" w:cstheme="minorBidi"/>
      <w:sz w:val="24"/>
    </w:rPr>
  </w:style>
  <w:style w:type="character" w:customStyle="1" w:styleId="1Char0">
    <w:name w:val="样式1 Char"/>
    <w:basedOn w:val="a0"/>
    <w:link w:val="10"/>
    <w:rsid w:val="001E64CF"/>
    <w:rPr>
      <w:rFonts w:asciiTheme="minorEastAsia" w:hAnsiTheme="minorEastAsia"/>
      <w:sz w:val="24"/>
      <w:szCs w:val="24"/>
    </w:rPr>
  </w:style>
  <w:style w:type="character" w:customStyle="1" w:styleId="1Char">
    <w:name w:val="标题 1 Char"/>
    <w:basedOn w:val="a0"/>
    <w:link w:val="1"/>
    <w:uiPriority w:val="9"/>
    <w:rsid w:val="00B36FC4"/>
    <w:rPr>
      <w:rFonts w:ascii="Calibri" w:eastAsia="宋体" w:hAnsi="Calibri"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FC4"/>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B36FC4"/>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1"/>
    <w:basedOn w:val="a"/>
    <w:link w:val="1Char0"/>
    <w:qFormat/>
    <w:rsid w:val="001E64CF"/>
    <w:pPr>
      <w:jc w:val="left"/>
    </w:pPr>
    <w:rPr>
      <w:rFonts w:asciiTheme="minorEastAsia" w:eastAsiaTheme="minorEastAsia" w:hAnsiTheme="minorEastAsia" w:cstheme="minorBidi"/>
      <w:sz w:val="24"/>
    </w:rPr>
  </w:style>
  <w:style w:type="character" w:customStyle="1" w:styleId="1Char0">
    <w:name w:val="样式1 Char"/>
    <w:basedOn w:val="a0"/>
    <w:link w:val="10"/>
    <w:rsid w:val="001E64CF"/>
    <w:rPr>
      <w:rFonts w:asciiTheme="minorEastAsia" w:hAnsiTheme="minorEastAsia"/>
      <w:sz w:val="24"/>
      <w:szCs w:val="24"/>
    </w:rPr>
  </w:style>
  <w:style w:type="character" w:customStyle="1" w:styleId="1Char">
    <w:name w:val="标题 1 Char"/>
    <w:basedOn w:val="a0"/>
    <w:link w:val="1"/>
    <w:uiPriority w:val="9"/>
    <w:rsid w:val="00B36FC4"/>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wuyanna</dc:creator>
  <cp:lastModifiedBy>wuyanna</cp:lastModifiedBy>
  <cp:revision>1</cp:revision>
  <dcterms:created xsi:type="dcterms:W3CDTF">2018-07-24T03:08:00Z</dcterms:created>
  <dcterms:modified xsi:type="dcterms:W3CDTF">2018-07-24T03:09:00Z</dcterms:modified>
</cp:coreProperties>
</file>