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0" w:type="dxa"/>
        <w:jc w:val="center"/>
        <w:tblInd w:w="93" w:type="dxa"/>
        <w:tblLook w:val="04A0"/>
      </w:tblPr>
      <w:tblGrid>
        <w:gridCol w:w="620"/>
        <w:gridCol w:w="760"/>
        <w:gridCol w:w="600"/>
        <w:gridCol w:w="1480"/>
        <w:gridCol w:w="10140"/>
        <w:gridCol w:w="1620"/>
      </w:tblGrid>
      <w:tr w:rsidR="00116588" w:rsidTr="00875673">
        <w:trPr>
          <w:trHeight w:val="855"/>
          <w:jc w:val="center"/>
        </w:trPr>
        <w:tc>
          <w:tcPr>
            <w:tcW w:w="15220" w:type="dxa"/>
            <w:gridSpan w:val="6"/>
            <w:tcBorders>
              <w:top w:val="nil"/>
              <w:left w:val="nil"/>
              <w:bottom w:val="single" w:sz="4" w:space="0" w:color="auto"/>
              <w:right w:val="nil"/>
            </w:tcBorders>
            <w:vAlign w:val="center"/>
            <w:hideMark/>
          </w:tcPr>
          <w:p w:rsidR="00116588" w:rsidRDefault="00116588" w:rsidP="00875673">
            <w:pPr>
              <w:widowControl/>
              <w:jc w:val="left"/>
              <w:rPr>
                <w:rFonts w:ascii="黑体" w:eastAsia="黑体" w:hAnsi="宋体" w:cs="宋体"/>
                <w:kern w:val="0"/>
                <w:sz w:val="32"/>
                <w:szCs w:val="32"/>
              </w:rPr>
            </w:pPr>
            <w:r>
              <w:rPr>
                <w:rFonts w:ascii="黑体" w:eastAsia="黑体" w:hAnsi="宋体" w:cs="宋体" w:hint="eastAsia"/>
                <w:kern w:val="0"/>
                <w:sz w:val="32"/>
                <w:szCs w:val="32"/>
              </w:rPr>
              <w:t xml:space="preserve">附件                   </w:t>
            </w:r>
          </w:p>
          <w:p w:rsidR="00116588" w:rsidRDefault="00116588" w:rsidP="00875673">
            <w:pPr>
              <w:widowControl/>
              <w:jc w:val="center"/>
              <w:rPr>
                <w:rFonts w:ascii="方正小标宋简体" w:eastAsia="方正小标宋简体" w:hAnsi="宋体" w:cs="宋体"/>
                <w:kern w:val="0"/>
                <w:sz w:val="28"/>
                <w:szCs w:val="28"/>
              </w:rPr>
            </w:pPr>
            <w:r>
              <w:rPr>
                <w:rFonts w:ascii="方正小标宋简体" w:eastAsia="方正小标宋简体" w:hAnsi="宋体" w:cs="宋体" w:hint="eastAsia"/>
                <w:kern w:val="0"/>
                <w:sz w:val="36"/>
                <w:szCs w:val="36"/>
              </w:rPr>
              <w:t>2015年流通环节食品安全监管重点工作任务分解表</w:t>
            </w:r>
          </w:p>
        </w:tc>
      </w:tr>
      <w:tr w:rsidR="00116588" w:rsidTr="00875673">
        <w:trPr>
          <w:trHeight w:val="510"/>
          <w:jc w:val="center"/>
        </w:trPr>
        <w:tc>
          <w:tcPr>
            <w:tcW w:w="620" w:type="dxa"/>
            <w:tcBorders>
              <w:top w:val="nil"/>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黑体" w:eastAsia="黑体" w:hAnsi="宋体" w:cs="宋体"/>
                <w:kern w:val="0"/>
                <w:sz w:val="24"/>
              </w:rPr>
            </w:pPr>
            <w:r>
              <w:rPr>
                <w:rFonts w:ascii="黑体" w:eastAsia="黑体" w:hAnsi="宋体" w:cs="宋体" w:hint="eastAsia"/>
                <w:kern w:val="0"/>
                <w:sz w:val="24"/>
              </w:rPr>
              <w:t>序号</w:t>
            </w:r>
          </w:p>
        </w:tc>
        <w:tc>
          <w:tcPr>
            <w:tcW w:w="76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黑体" w:eastAsia="黑体" w:hAnsi="宋体" w:cs="宋体"/>
                <w:kern w:val="0"/>
                <w:sz w:val="24"/>
              </w:rPr>
            </w:pPr>
            <w:r>
              <w:rPr>
                <w:rFonts w:ascii="黑体" w:eastAsia="黑体" w:hAnsi="宋体" w:cs="宋体" w:hint="eastAsia"/>
                <w:kern w:val="0"/>
                <w:sz w:val="24"/>
              </w:rPr>
              <w:t>项目</w:t>
            </w: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黑体" w:eastAsia="黑体" w:hAnsi="宋体" w:cs="宋体"/>
                <w:kern w:val="0"/>
                <w:sz w:val="24"/>
              </w:rPr>
            </w:pPr>
            <w:r>
              <w:rPr>
                <w:rFonts w:ascii="黑体" w:eastAsia="黑体" w:hAnsi="宋体" w:cs="宋体" w:hint="eastAsia"/>
                <w:kern w:val="0"/>
                <w:sz w:val="24"/>
              </w:rPr>
              <w:t>序号</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黑体" w:eastAsia="黑体" w:hAnsi="宋体" w:cs="宋体"/>
                <w:kern w:val="0"/>
                <w:sz w:val="24"/>
              </w:rPr>
            </w:pPr>
            <w:r>
              <w:rPr>
                <w:rFonts w:ascii="黑体" w:eastAsia="黑体" w:hAnsi="宋体" w:cs="宋体" w:hint="eastAsia"/>
                <w:kern w:val="0"/>
                <w:sz w:val="24"/>
              </w:rPr>
              <w:t>工作任务</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黑体" w:eastAsia="黑体" w:hAnsi="宋体" w:cs="宋体"/>
                <w:kern w:val="0"/>
                <w:sz w:val="24"/>
              </w:rPr>
            </w:pPr>
            <w:r>
              <w:rPr>
                <w:rFonts w:ascii="黑体" w:eastAsia="黑体" w:hAnsi="宋体" w:cs="宋体" w:hint="eastAsia"/>
                <w:kern w:val="0"/>
                <w:sz w:val="24"/>
              </w:rPr>
              <w:t>工作要求</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黑体" w:eastAsia="黑体" w:hAnsi="宋体" w:cs="宋体"/>
                <w:kern w:val="0"/>
                <w:sz w:val="24"/>
              </w:rPr>
            </w:pPr>
            <w:r>
              <w:rPr>
                <w:rFonts w:ascii="黑体" w:eastAsia="黑体" w:hAnsi="宋体" w:cs="宋体" w:hint="eastAsia"/>
                <w:kern w:val="0"/>
                <w:sz w:val="24"/>
              </w:rPr>
              <w:t>完成时限</w:t>
            </w:r>
          </w:p>
        </w:tc>
      </w:tr>
      <w:tr w:rsidR="00116588" w:rsidTr="00875673">
        <w:trPr>
          <w:trHeight w:val="1500"/>
          <w:jc w:val="center"/>
        </w:trPr>
        <w:tc>
          <w:tcPr>
            <w:tcW w:w="620" w:type="dxa"/>
            <w:vMerge w:val="restart"/>
            <w:tcBorders>
              <w:top w:val="nil"/>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一</w:t>
            </w:r>
          </w:p>
        </w:tc>
        <w:tc>
          <w:tcPr>
            <w:tcW w:w="760" w:type="dxa"/>
            <w:vMerge w:val="restart"/>
            <w:tcBorders>
              <w:top w:val="nil"/>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专项</w:t>
            </w:r>
            <w:r>
              <w:rPr>
                <w:rFonts w:ascii="仿宋_GB2312" w:eastAsia="仿宋_GB2312" w:hAnsi="宋体" w:cs="宋体" w:hint="eastAsia"/>
                <w:kern w:val="0"/>
                <w:sz w:val="24"/>
              </w:rPr>
              <w:br/>
              <w:t>整治</w:t>
            </w: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农村食品市场专项整治</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1、继续推动完善农村食品安全监管机制；</w:t>
            </w:r>
            <w:r>
              <w:rPr>
                <w:rFonts w:ascii="仿宋_GB2312" w:eastAsia="仿宋_GB2312" w:hAnsi="宋体" w:cs="宋体" w:hint="eastAsia"/>
                <w:kern w:val="0"/>
                <w:sz w:val="24"/>
              </w:rPr>
              <w:br/>
              <w:t>2、继续严厉打击农村无证无照食品经营行为；</w:t>
            </w:r>
            <w:r>
              <w:rPr>
                <w:rFonts w:ascii="仿宋_GB2312" w:eastAsia="仿宋_GB2312" w:hAnsi="宋体" w:cs="宋体" w:hint="eastAsia"/>
                <w:kern w:val="0"/>
                <w:sz w:val="24"/>
              </w:rPr>
              <w:br/>
              <w:t>3、继续严厉打击销售、使用无合法来源食品和食品原料的违法行为：</w:t>
            </w:r>
            <w:r>
              <w:rPr>
                <w:rFonts w:ascii="仿宋_GB2312" w:eastAsia="仿宋_GB2312" w:hAnsi="宋体" w:cs="宋体" w:hint="eastAsia"/>
                <w:kern w:val="0"/>
                <w:sz w:val="24"/>
              </w:rPr>
              <w:br/>
              <w:t>4、继续严厉打击经营侵权仿冒和“五无”食品违法行为；</w:t>
            </w:r>
            <w:r>
              <w:rPr>
                <w:rFonts w:ascii="仿宋_GB2312" w:eastAsia="仿宋_GB2312" w:hAnsi="宋体" w:cs="宋体" w:hint="eastAsia"/>
                <w:kern w:val="0"/>
                <w:sz w:val="24"/>
              </w:rPr>
              <w:br/>
              <w:t>5、继续严厉打击“两超一非”等伪劣食品行为，加大抽检力度。</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5月底前进行专项检查；11月底前完成</w:t>
            </w:r>
          </w:p>
        </w:tc>
      </w:tr>
      <w:tr w:rsidR="00116588" w:rsidTr="00875673">
        <w:trPr>
          <w:trHeight w:val="1305"/>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儿童食品和校园及其周边食品安全专项整治</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1、开展农村儿童食品和校园及其周边食品经营者主体资格清理整治行动；</w:t>
            </w:r>
            <w:r>
              <w:rPr>
                <w:rFonts w:ascii="仿宋_GB2312" w:eastAsia="仿宋_GB2312" w:hAnsi="宋体" w:cs="宋体" w:hint="eastAsia"/>
                <w:kern w:val="0"/>
                <w:sz w:val="24"/>
              </w:rPr>
              <w:br/>
              <w:t>2、严厉打击农村儿童食品和校园及其周边食品经营中的违法犯罪行为；</w:t>
            </w:r>
            <w:r>
              <w:rPr>
                <w:rFonts w:ascii="仿宋_GB2312" w:eastAsia="仿宋_GB2312" w:hAnsi="宋体" w:cs="宋体" w:hint="eastAsia"/>
                <w:kern w:val="0"/>
                <w:sz w:val="24"/>
              </w:rPr>
              <w:br/>
              <w:t>3、加强与教育部门、学校、街道（社区）和城市管理综合行政执法部门的协调协作。</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11月底前完成</w:t>
            </w:r>
          </w:p>
        </w:tc>
      </w:tr>
      <w:tr w:rsidR="00116588" w:rsidTr="00875673">
        <w:trPr>
          <w:trHeight w:val="1200"/>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冷冻肉类食品专项整治</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1、以各类冷库和冷冻肉贮存场所为重点开展专项整治；</w:t>
            </w:r>
            <w:r>
              <w:rPr>
                <w:rFonts w:ascii="仿宋_GB2312" w:eastAsia="仿宋_GB2312" w:hAnsi="宋体" w:cs="宋体" w:hint="eastAsia"/>
                <w:kern w:val="0"/>
                <w:sz w:val="24"/>
              </w:rPr>
              <w:br/>
              <w:t>2、监督冷冻肉经营者健全和完善进货检查验收等制度；</w:t>
            </w:r>
            <w:r>
              <w:rPr>
                <w:rFonts w:ascii="仿宋_GB2312" w:eastAsia="仿宋_GB2312" w:hAnsi="宋体" w:cs="宋体" w:hint="eastAsia"/>
                <w:kern w:val="0"/>
                <w:sz w:val="24"/>
              </w:rPr>
              <w:br/>
              <w:t>3、积极研究和探索建立大型冷冻肉类库房进货报告制度。</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4月底前完成相关制度建设；11月底前完成</w:t>
            </w:r>
          </w:p>
        </w:tc>
      </w:tr>
      <w:tr w:rsidR="00116588" w:rsidTr="00875673">
        <w:trPr>
          <w:trHeight w:val="1305"/>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水产品及水发水产品专项整治</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1、对各类水产品和水发水产品批发市场进行重点整治；</w:t>
            </w:r>
            <w:r>
              <w:rPr>
                <w:rFonts w:ascii="仿宋_GB2312" w:eastAsia="仿宋_GB2312" w:hAnsi="宋体" w:cs="宋体" w:hint="eastAsia"/>
                <w:kern w:val="0"/>
                <w:sz w:val="24"/>
              </w:rPr>
              <w:br/>
              <w:t>2、落实各类市场主体责任；</w:t>
            </w:r>
            <w:r>
              <w:rPr>
                <w:rFonts w:ascii="仿宋_GB2312" w:eastAsia="仿宋_GB2312" w:hAnsi="宋体" w:cs="宋体" w:hint="eastAsia"/>
                <w:kern w:val="0"/>
                <w:sz w:val="24"/>
              </w:rPr>
              <w:br/>
              <w:t>3、对所有批发、零售的水产品和水发水产品认真检查其索证索票情况，加大抽样检测和快速检测力度。</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全年推进，</w:t>
            </w:r>
            <w:r>
              <w:rPr>
                <w:rFonts w:ascii="宋体" w:hAnsi="宋体" w:cs="宋体" w:hint="eastAsia"/>
                <w:kern w:val="0"/>
                <w:sz w:val="24"/>
              </w:rPr>
              <w:br/>
              <w:t>11月底前完成</w:t>
            </w:r>
          </w:p>
        </w:tc>
      </w:tr>
      <w:tr w:rsidR="00116588" w:rsidTr="00875673">
        <w:trPr>
          <w:trHeight w:val="1335"/>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仓储食品专项整治</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1、实施“阳光仓储”工程；</w:t>
            </w:r>
            <w:r>
              <w:rPr>
                <w:rFonts w:ascii="仿宋_GB2312" w:eastAsia="仿宋_GB2312" w:hAnsi="宋体" w:cs="宋体" w:hint="eastAsia"/>
                <w:kern w:val="0"/>
                <w:sz w:val="24"/>
              </w:rPr>
              <w:br/>
              <w:t>2、把食品批发企业、大型商场超市、食品连锁经营企业总部、网络食品经营主体的仓储设施纳入食品流通许可的审查范围，对其仓储设施进行现场核查；</w:t>
            </w:r>
            <w:r>
              <w:rPr>
                <w:rFonts w:ascii="仿宋_GB2312" w:eastAsia="仿宋_GB2312" w:hAnsi="宋体" w:cs="宋体" w:hint="eastAsia"/>
                <w:kern w:val="0"/>
                <w:sz w:val="24"/>
              </w:rPr>
              <w:br/>
              <w:t>3、健全仓贮食品管理制度。</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4月底前出台相关制度</w:t>
            </w:r>
          </w:p>
        </w:tc>
      </w:tr>
      <w:tr w:rsidR="00116588" w:rsidTr="00875673">
        <w:trPr>
          <w:trHeight w:val="2400"/>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spacing w:after="240"/>
              <w:jc w:val="center"/>
              <w:rPr>
                <w:rFonts w:ascii="仿宋_GB2312" w:eastAsia="仿宋_GB2312" w:hAnsi="宋体" w:cs="宋体"/>
                <w:kern w:val="0"/>
                <w:sz w:val="24"/>
              </w:rPr>
            </w:pPr>
            <w:r>
              <w:rPr>
                <w:rFonts w:ascii="仿宋_GB2312" w:eastAsia="仿宋_GB2312" w:hAnsi="宋体" w:cs="宋体" w:hint="eastAsia"/>
                <w:kern w:val="0"/>
                <w:sz w:val="24"/>
              </w:rPr>
              <w:lastRenderedPageBreak/>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t>二</w:t>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spacing w:after="240"/>
              <w:jc w:val="center"/>
              <w:rPr>
                <w:rFonts w:ascii="仿宋_GB2312" w:eastAsia="仿宋_GB2312" w:hAnsi="宋体" w:cs="宋体"/>
                <w:kern w:val="0"/>
                <w:sz w:val="24"/>
              </w:rPr>
            </w:pP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t>风险</w:t>
            </w:r>
            <w:r>
              <w:rPr>
                <w:rFonts w:ascii="仿宋_GB2312" w:eastAsia="仿宋_GB2312" w:hAnsi="宋体" w:cs="宋体" w:hint="eastAsia"/>
                <w:kern w:val="0"/>
                <w:sz w:val="24"/>
              </w:rPr>
              <w:br/>
              <w:t>防控</w:t>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r>
              <w:rPr>
                <w:rFonts w:ascii="仿宋_GB2312" w:eastAsia="仿宋_GB2312" w:hAnsi="宋体" w:cs="宋体" w:hint="eastAsia"/>
                <w:kern w:val="0"/>
                <w:sz w:val="24"/>
              </w:rPr>
              <w:br/>
            </w:r>
          </w:p>
        </w:tc>
        <w:tc>
          <w:tcPr>
            <w:tcW w:w="60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48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食用农产品入市监管</w:t>
            </w:r>
          </w:p>
        </w:tc>
        <w:tc>
          <w:tcPr>
            <w:tcW w:w="1014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1、开展食用农产品经营者底数信息统计；</w:t>
            </w:r>
            <w:r>
              <w:rPr>
                <w:rFonts w:ascii="仿宋_GB2312" w:eastAsia="仿宋_GB2312" w:hAnsi="宋体" w:cs="宋体" w:hint="eastAsia"/>
                <w:kern w:val="0"/>
                <w:sz w:val="24"/>
              </w:rPr>
              <w:br/>
              <w:t>2、研究制定并试点完善大型食用农产品批发市场食用农产品经营监管规范；</w:t>
            </w:r>
            <w:r>
              <w:rPr>
                <w:rFonts w:ascii="仿宋_GB2312" w:eastAsia="仿宋_GB2312" w:hAnsi="宋体" w:cs="宋体" w:hint="eastAsia"/>
                <w:kern w:val="0"/>
                <w:sz w:val="24"/>
              </w:rPr>
              <w:br/>
              <w:t>3、严厉打击食用农产品入市后违法违规行为；</w:t>
            </w:r>
            <w:r>
              <w:rPr>
                <w:rFonts w:ascii="仿宋_GB2312" w:eastAsia="仿宋_GB2312" w:hAnsi="宋体" w:cs="宋体" w:hint="eastAsia"/>
                <w:kern w:val="0"/>
                <w:sz w:val="24"/>
              </w:rPr>
              <w:br/>
              <w:t>4、建立食用农产品准入准出机制；</w:t>
            </w:r>
            <w:r>
              <w:rPr>
                <w:rFonts w:ascii="仿宋_GB2312" w:eastAsia="仿宋_GB2312" w:hAnsi="宋体" w:cs="宋体" w:hint="eastAsia"/>
                <w:kern w:val="0"/>
                <w:sz w:val="24"/>
              </w:rPr>
              <w:br/>
              <w:t>5、构建大型食用农产品批发市场食用农产品自检体系；</w:t>
            </w:r>
            <w:r>
              <w:rPr>
                <w:rFonts w:ascii="仿宋_GB2312" w:eastAsia="仿宋_GB2312" w:hAnsi="宋体" w:cs="宋体" w:hint="eastAsia"/>
                <w:kern w:val="0"/>
                <w:sz w:val="24"/>
              </w:rPr>
              <w:br/>
              <w:t>6、鼓励和引导大型商场、超市建立“场厂挂钩”、“场地挂钩”机制；</w:t>
            </w:r>
            <w:r>
              <w:rPr>
                <w:rFonts w:ascii="仿宋_GB2312" w:eastAsia="仿宋_GB2312" w:hAnsi="宋体" w:cs="宋体" w:hint="eastAsia"/>
                <w:kern w:val="0"/>
                <w:sz w:val="24"/>
              </w:rPr>
              <w:br/>
              <w:t>7、加大食用农产品的监督抽检和快速检测力度；</w:t>
            </w:r>
            <w:r>
              <w:rPr>
                <w:rFonts w:ascii="仿宋_GB2312" w:eastAsia="仿宋_GB2312" w:hAnsi="宋体" w:cs="宋体" w:hint="eastAsia"/>
                <w:kern w:val="0"/>
                <w:sz w:val="24"/>
              </w:rPr>
              <w:br/>
              <w:t>8、加大对食用农产品经营行为的监督检查。</w:t>
            </w:r>
          </w:p>
        </w:tc>
        <w:tc>
          <w:tcPr>
            <w:tcW w:w="162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4月底前完成统计和制度建设；12月底前完成</w:t>
            </w:r>
          </w:p>
        </w:tc>
      </w:tr>
      <w:tr w:rsidR="00116588" w:rsidTr="00875673">
        <w:trPr>
          <w:trHeight w:val="18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食品流动配送监管</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1、食品批发企业必须要有食品配送车辆；</w:t>
            </w:r>
            <w:r>
              <w:rPr>
                <w:rFonts w:ascii="仿宋_GB2312" w:eastAsia="仿宋_GB2312" w:hAnsi="宋体" w:cs="宋体" w:hint="eastAsia"/>
                <w:kern w:val="0"/>
                <w:sz w:val="24"/>
              </w:rPr>
              <w:br/>
              <w:t>2、食品配送车辆纳入食品批发企业、连锁经营企业总部、网络食品经营食品流通许可审查范围；</w:t>
            </w:r>
            <w:r>
              <w:rPr>
                <w:rFonts w:ascii="仿宋_GB2312" w:eastAsia="仿宋_GB2312" w:hAnsi="宋体" w:cs="宋体" w:hint="eastAsia"/>
                <w:kern w:val="0"/>
                <w:sz w:val="24"/>
              </w:rPr>
              <w:br/>
              <w:t>3、食品配送车辆实行“统一登记、统一编号、统一标识、统一发证”的“四统一”管理模式；</w:t>
            </w:r>
            <w:r>
              <w:rPr>
                <w:rFonts w:ascii="仿宋_GB2312" w:eastAsia="仿宋_GB2312" w:hAnsi="宋体" w:cs="宋体" w:hint="eastAsia"/>
                <w:kern w:val="0"/>
                <w:sz w:val="24"/>
              </w:rPr>
              <w:br/>
              <w:t>4、健全完善食品配送管理和监管制度。</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6月底前完成“四个统一”</w:t>
            </w:r>
          </w:p>
        </w:tc>
      </w:tr>
      <w:tr w:rsidR="00116588" w:rsidTr="00875673">
        <w:trPr>
          <w:trHeight w:val="18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8</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婴幼儿配方乳粉</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1、严格落实婴幼儿配方乳粉专区（专柜）经营的要求；</w:t>
            </w:r>
            <w:r>
              <w:rPr>
                <w:rFonts w:ascii="仿宋_GB2312" w:eastAsia="仿宋_GB2312" w:hAnsi="宋体" w:cs="宋体" w:hint="eastAsia"/>
                <w:kern w:val="0"/>
                <w:sz w:val="24"/>
              </w:rPr>
              <w:br/>
              <w:t>2、深入开展药店试点销售工作，积极总结试点销售经验，健全药店试点销售监管制度；</w:t>
            </w:r>
            <w:r>
              <w:rPr>
                <w:rFonts w:ascii="仿宋_GB2312" w:eastAsia="仿宋_GB2312" w:hAnsi="宋体" w:cs="宋体" w:hint="eastAsia"/>
                <w:kern w:val="0"/>
                <w:sz w:val="24"/>
              </w:rPr>
              <w:br/>
              <w:t>3、严格监督经营者履行主体责任，把好进货检查验收关；</w:t>
            </w:r>
            <w:r>
              <w:rPr>
                <w:rFonts w:ascii="仿宋_GB2312" w:eastAsia="仿宋_GB2312" w:hAnsi="宋体" w:cs="宋体" w:hint="eastAsia"/>
                <w:kern w:val="0"/>
                <w:sz w:val="24"/>
              </w:rPr>
              <w:br/>
              <w:t>4、婴幼儿配方乳粉经营者必须100%应用食品安全电子监管平台，必须按批次索取质量合格证明。</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全年推进，</w:t>
            </w:r>
            <w:r>
              <w:rPr>
                <w:rFonts w:ascii="宋体" w:hAnsi="宋体" w:cs="宋体" w:hint="eastAsia"/>
                <w:kern w:val="0"/>
                <w:sz w:val="24"/>
              </w:rPr>
              <w:br/>
              <w:t>11月底前完成</w:t>
            </w:r>
          </w:p>
        </w:tc>
      </w:tr>
      <w:tr w:rsidR="00116588" w:rsidTr="00875673">
        <w:trPr>
          <w:trHeight w:val="1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散装食品</w:t>
            </w:r>
            <w:r>
              <w:rPr>
                <w:rFonts w:ascii="仿宋_GB2312" w:eastAsia="仿宋_GB2312" w:hAnsi="宋体" w:cs="宋体" w:hint="eastAsia"/>
                <w:kern w:val="0"/>
                <w:sz w:val="24"/>
              </w:rPr>
              <w:br/>
              <w:t>监管</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1、针对散装食品管理和标识问题，继续加强日常监管；</w:t>
            </w:r>
            <w:r>
              <w:rPr>
                <w:rFonts w:ascii="仿宋_GB2312" w:eastAsia="仿宋_GB2312" w:hAnsi="宋体" w:cs="宋体" w:hint="eastAsia"/>
                <w:kern w:val="0"/>
                <w:sz w:val="24"/>
              </w:rPr>
              <w:br/>
              <w:t>2、对经营直接入口散装食品的经营者，必须配备具有“三防”功能的存贮柜和陈列柜，以防散装食品经营过程中的污染；</w:t>
            </w:r>
            <w:r>
              <w:rPr>
                <w:rFonts w:ascii="仿宋_GB2312" w:eastAsia="仿宋_GB2312" w:hAnsi="宋体" w:cs="宋体" w:hint="eastAsia"/>
                <w:kern w:val="0"/>
                <w:sz w:val="24"/>
              </w:rPr>
              <w:br/>
              <w:t>3、严格落实禁止生产经营和使用散装食用油、散装酱油和散装食醋的规定。</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5月底前出台办法</w:t>
            </w:r>
          </w:p>
        </w:tc>
      </w:tr>
      <w:tr w:rsidR="00116588" w:rsidTr="00875673">
        <w:trPr>
          <w:trHeight w:val="1200"/>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二</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风险防控</w:t>
            </w:r>
          </w:p>
        </w:tc>
        <w:tc>
          <w:tcPr>
            <w:tcW w:w="60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148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电子追溯</w:t>
            </w:r>
            <w:r>
              <w:rPr>
                <w:rFonts w:ascii="仿宋_GB2312" w:eastAsia="仿宋_GB2312" w:hAnsi="宋体" w:cs="宋体" w:hint="eastAsia"/>
                <w:kern w:val="0"/>
                <w:sz w:val="24"/>
              </w:rPr>
              <w:br/>
              <w:t>平台</w:t>
            </w:r>
          </w:p>
        </w:tc>
        <w:tc>
          <w:tcPr>
            <w:tcW w:w="1014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加大推广应用的宣传培训力度，坚决完成省政府确定的目标任务，食品生产企业、商场超市、批发市场、中型以上餐馆和单位食品100%纳入电子追溯监管平台，其他经营主体60%纳入食品安全电子追溯平台，强化追溯管理日常巡查监管，搞好检查督导工作。</w:t>
            </w:r>
          </w:p>
        </w:tc>
        <w:tc>
          <w:tcPr>
            <w:tcW w:w="162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全年推进，11月底前完成</w:t>
            </w:r>
          </w:p>
        </w:tc>
      </w:tr>
      <w:tr w:rsidR="00116588" w:rsidTr="00875673">
        <w:trPr>
          <w:trHeight w:val="1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检验检测</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r>
              <w:rPr>
                <w:rFonts w:ascii="仿宋_GB2312" w:eastAsia="仿宋_GB2312" w:hAnsi="宋体" w:cs="宋体" w:hint="eastAsia"/>
                <w:kern w:val="0"/>
                <w:sz w:val="24"/>
              </w:rPr>
              <w:t>1、落实“四统一”（统一制定计划、统一组织实施、统一数据汇总分析、统一结果利用）；</w:t>
            </w:r>
            <w:r>
              <w:rPr>
                <w:rFonts w:ascii="仿宋_GB2312" w:eastAsia="仿宋_GB2312" w:hAnsi="宋体" w:cs="宋体" w:hint="eastAsia"/>
                <w:kern w:val="0"/>
                <w:sz w:val="24"/>
              </w:rPr>
              <w:br/>
              <w:t>2、坚持问题导向，采取先筛查问题食品，再有目标的进行抽检，提高抽检的靶向性；</w:t>
            </w:r>
            <w:r>
              <w:rPr>
                <w:rFonts w:ascii="仿宋_GB2312" w:eastAsia="仿宋_GB2312" w:hAnsi="宋体" w:cs="宋体" w:hint="eastAsia"/>
                <w:kern w:val="0"/>
                <w:sz w:val="24"/>
              </w:rPr>
              <w:br/>
              <w:t>3、加大问题产品处置力度。</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12月底前完成</w:t>
            </w:r>
          </w:p>
        </w:tc>
      </w:tr>
      <w:tr w:rsidR="00116588" w:rsidTr="00875673">
        <w:trPr>
          <w:trHeight w:val="10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12</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负面清单</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指导各地开展“负面清单”管理试点工作，选择不同经营方式、不同经营范围、不同经营规模的经营主体进行试点，将不同类型的经营者禁止经营的范围以“负面清单”的方式进行公布，接受消费者的监督。</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6月底前完成试点工作</w:t>
            </w:r>
          </w:p>
        </w:tc>
      </w:tr>
      <w:tr w:rsidR="00116588" w:rsidTr="00875673">
        <w:trPr>
          <w:trHeight w:val="1365"/>
          <w:jc w:val="center"/>
        </w:trPr>
        <w:tc>
          <w:tcPr>
            <w:tcW w:w="620" w:type="dxa"/>
            <w:vMerge w:val="restart"/>
            <w:tcBorders>
              <w:top w:val="nil"/>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三</w:t>
            </w:r>
          </w:p>
        </w:tc>
        <w:tc>
          <w:tcPr>
            <w:tcW w:w="760" w:type="dxa"/>
            <w:vMerge w:val="restart"/>
            <w:tcBorders>
              <w:top w:val="nil"/>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痕迹监管</w:t>
            </w: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13</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日常监管</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把“一表一册一公示”作为落实日常监管责任、体现日常监管痕迹、规范经营者自律行为的重要载体，建立日常检查台帐，详细登记每次监督检查执法人员、监管对象、发现的问题、处理情况，做到巡查有计划、现场有笔录、发现问题有处理意见、处理事项有结果、检查笔录有签字，实现日常监管“全程留痕、随时查控”。</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全年推进，</w:t>
            </w:r>
            <w:r>
              <w:rPr>
                <w:rFonts w:ascii="宋体" w:hAnsi="宋体" w:cs="宋体" w:hint="eastAsia"/>
                <w:kern w:val="0"/>
                <w:sz w:val="24"/>
              </w:rPr>
              <w:br/>
              <w:t>12月底前完成</w:t>
            </w:r>
          </w:p>
        </w:tc>
      </w:tr>
      <w:tr w:rsidR="00116588" w:rsidTr="00875673">
        <w:trPr>
          <w:trHeight w:val="1350"/>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14</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案件查办</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对不合格食品按照品种批次建立“一品一表一案卷”（即：一种不合格食品对应一张清缴情况统计表和一份处罚案卷）的清查追溯机制，从立案、调查、审核、告知和送达等重点环节实施痕迹管理，明确行政执法流程，严格执法办案程序，规范执法文书制作，达到有序监管、有据监督、有迹可寻的目的。</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全年开展</w:t>
            </w:r>
          </w:p>
        </w:tc>
      </w:tr>
      <w:tr w:rsidR="00116588" w:rsidTr="00875673">
        <w:trPr>
          <w:trHeight w:val="960"/>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15</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记分管理</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积极研究探索实施《记分管理办法》的方法、途径和有效手段，监督指导各级有效落实，实现记分管理痕迹化。</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r>
              <w:rPr>
                <w:rFonts w:ascii="宋体" w:hAnsi="宋体" w:cs="宋体" w:hint="eastAsia"/>
                <w:kern w:val="0"/>
                <w:sz w:val="24"/>
              </w:rPr>
              <w:t>7月底前进行一次专项检查</w:t>
            </w:r>
          </w:p>
        </w:tc>
      </w:tr>
      <w:tr w:rsidR="00116588" w:rsidTr="00875673">
        <w:trPr>
          <w:trHeight w:val="1020"/>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16</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信用管理</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进一步严格标准，不断规范和大力推进食品安全信用等级评定工作，规范评定内容、考量依据、量化标准、评定程序，统一规范食品安全状况“外置化”公示牌，“外置化”率要达100%。</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11月底前完成</w:t>
            </w:r>
          </w:p>
        </w:tc>
      </w:tr>
      <w:tr w:rsidR="00116588" w:rsidTr="00875673">
        <w:trPr>
          <w:trHeight w:val="840"/>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kern w:val="0"/>
                <w:sz w:val="24"/>
              </w:rPr>
            </w:pPr>
            <w:r>
              <w:rPr>
                <w:rFonts w:ascii="仿宋_GB2312" w:eastAsia="仿宋_GB2312" w:hAnsi="宋体" w:cs="宋体" w:hint="eastAsia"/>
                <w:kern w:val="0"/>
                <w:sz w:val="24"/>
              </w:rPr>
              <w:t>四</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许可</w:t>
            </w:r>
            <w:r>
              <w:rPr>
                <w:rFonts w:ascii="仿宋_GB2312" w:eastAsia="仿宋_GB2312" w:hAnsi="宋体" w:cs="宋体" w:hint="eastAsia"/>
                <w:color w:val="000000"/>
                <w:kern w:val="0"/>
                <w:sz w:val="24"/>
              </w:rPr>
              <w:br/>
              <w:t>准入</w:t>
            </w:r>
          </w:p>
        </w:tc>
        <w:tc>
          <w:tcPr>
            <w:tcW w:w="60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17</w:t>
            </w:r>
          </w:p>
        </w:tc>
        <w:tc>
          <w:tcPr>
            <w:tcW w:w="148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摸清底数</w:t>
            </w:r>
          </w:p>
        </w:tc>
        <w:tc>
          <w:tcPr>
            <w:tcW w:w="1014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深入开展食品经营主体资格清理整顿工作，摸清各类食品经营主体和食品连锁经营企业、地区总代理、总经销等底数，并健全完善监管档案。</w:t>
            </w:r>
          </w:p>
        </w:tc>
        <w:tc>
          <w:tcPr>
            <w:tcW w:w="1620" w:type="dxa"/>
            <w:tcBorders>
              <w:top w:val="single" w:sz="4" w:space="0" w:color="auto"/>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5月底前完成</w:t>
            </w:r>
          </w:p>
        </w:tc>
      </w:tr>
      <w:tr w:rsidR="00116588" w:rsidTr="00875673">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许可系统</w:t>
            </w:r>
            <w:r>
              <w:rPr>
                <w:rFonts w:ascii="仿宋_GB2312" w:eastAsia="仿宋_GB2312" w:hAnsi="宋体" w:cs="宋体" w:hint="eastAsia"/>
                <w:color w:val="000000"/>
                <w:kern w:val="0"/>
                <w:sz w:val="24"/>
              </w:rPr>
              <w:br/>
              <w:t>推广应用</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完成新的食品经营许可系统的学习、培训和应用，做好食品流通许可档案信息的录入。</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11月底前完成</w:t>
            </w:r>
          </w:p>
        </w:tc>
      </w:tr>
      <w:tr w:rsidR="00116588" w:rsidTr="00875673">
        <w:trPr>
          <w:trHeight w:val="6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19</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新证换发</w:t>
            </w:r>
            <w:r>
              <w:rPr>
                <w:rFonts w:ascii="仿宋_GB2312" w:eastAsia="仿宋_GB2312" w:hAnsi="宋体" w:cs="宋体" w:hint="eastAsia"/>
                <w:color w:val="000000"/>
                <w:kern w:val="0"/>
                <w:sz w:val="24"/>
              </w:rPr>
              <w:br/>
              <w:t>工作</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完成新证换发工作。</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11月底前完成</w:t>
            </w:r>
          </w:p>
        </w:tc>
      </w:tr>
      <w:tr w:rsidR="00116588" w:rsidTr="00875673">
        <w:trPr>
          <w:trHeight w:val="1245"/>
          <w:jc w:val="center"/>
        </w:trPr>
        <w:tc>
          <w:tcPr>
            <w:tcW w:w="620" w:type="dxa"/>
            <w:tcBorders>
              <w:top w:val="nil"/>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0"/>
                <w:szCs w:val="20"/>
              </w:rPr>
            </w:pPr>
            <w:r>
              <w:rPr>
                <w:rFonts w:ascii="宋体" w:hAnsi="宋体" w:cs="宋体" w:hint="eastAsia"/>
                <w:kern w:val="0"/>
                <w:sz w:val="20"/>
                <w:szCs w:val="20"/>
              </w:rPr>
              <w:lastRenderedPageBreak/>
              <w:t>五</w:t>
            </w:r>
          </w:p>
        </w:tc>
        <w:tc>
          <w:tcPr>
            <w:tcW w:w="76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食品安全放心工程</w:t>
            </w: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食品安全</w:t>
            </w:r>
            <w:r>
              <w:rPr>
                <w:rFonts w:ascii="仿宋_GB2312" w:eastAsia="仿宋_GB2312" w:hAnsi="宋体" w:cs="宋体" w:hint="eastAsia"/>
                <w:color w:val="000000"/>
                <w:kern w:val="0"/>
                <w:sz w:val="24"/>
              </w:rPr>
              <w:br/>
              <w:t>放心工程</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w:t>
            </w:r>
            <w:r>
              <w:rPr>
                <w:rFonts w:ascii="仿宋_GB2312" w:eastAsia="仿宋_GB2312" w:hAnsi="宋体" w:cs="宋体" w:hint="eastAsia"/>
                <w:kern w:val="0"/>
                <w:sz w:val="24"/>
              </w:rPr>
              <w:t>300个食用农产品快速检测室和1000台食品安全信息溯源机为主要内容的省政府食品安全放心工程建设。</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10月底前完成</w:t>
            </w:r>
          </w:p>
        </w:tc>
      </w:tr>
      <w:tr w:rsidR="00116588" w:rsidTr="00875673">
        <w:trPr>
          <w:trHeight w:val="735"/>
          <w:jc w:val="center"/>
        </w:trPr>
        <w:tc>
          <w:tcPr>
            <w:tcW w:w="620" w:type="dxa"/>
            <w:vMerge w:val="restart"/>
            <w:tcBorders>
              <w:top w:val="nil"/>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六</w:t>
            </w:r>
          </w:p>
        </w:tc>
        <w:tc>
          <w:tcPr>
            <w:tcW w:w="760" w:type="dxa"/>
            <w:vMerge w:val="restart"/>
            <w:tcBorders>
              <w:top w:val="nil"/>
              <w:left w:val="single" w:sz="4" w:space="0" w:color="auto"/>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内勤综合</w:t>
            </w: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21</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文件呈办</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及时准确完成文件的日常收发、传递、归档，实现文件的安全高效利用；负责各类会议通知，做到不误时、不误事；及时收集、传递、归档、通知。</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全年开展</w:t>
            </w:r>
          </w:p>
        </w:tc>
      </w:tr>
      <w:tr w:rsidR="00116588" w:rsidTr="00875673">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22</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统计报表</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完成各类统计报表汇总分析上报，按要求及时、准确上报。</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全年开展</w:t>
            </w:r>
          </w:p>
        </w:tc>
      </w:tr>
      <w:tr w:rsidR="00116588" w:rsidTr="00875673">
        <w:trPr>
          <w:trHeight w:val="615"/>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23</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信息报送</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完成各项重点工作的信息报送，严格信息报送 程序，注重信息报送时效性。</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全年开展</w:t>
            </w:r>
          </w:p>
        </w:tc>
      </w:tr>
      <w:tr w:rsidR="00116588" w:rsidTr="00875673">
        <w:trPr>
          <w:trHeight w:val="900"/>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24</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会务保障</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完成全年工作会议等各类会议、培训班的会务协调与准备工作；积极协调、周密安排、热情服务，不误时、不误事。</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全年开展</w:t>
            </w:r>
          </w:p>
        </w:tc>
      </w:tr>
      <w:tr w:rsidR="00116588" w:rsidTr="00875673">
        <w:trPr>
          <w:trHeight w:val="690"/>
          <w:jc w:val="center"/>
        </w:trPr>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宋体" w:hAnsi="宋体" w:cs="宋体"/>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p>
        </w:tc>
        <w:tc>
          <w:tcPr>
            <w:tcW w:w="60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25</w:t>
            </w:r>
          </w:p>
        </w:tc>
        <w:tc>
          <w:tcPr>
            <w:tcW w:w="148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工作日志</w:t>
            </w:r>
          </w:p>
        </w:tc>
        <w:tc>
          <w:tcPr>
            <w:tcW w:w="10140" w:type="dxa"/>
            <w:tcBorders>
              <w:top w:val="nil"/>
              <w:left w:val="nil"/>
              <w:bottom w:val="single" w:sz="4" w:space="0" w:color="auto"/>
              <w:right w:val="single" w:sz="4" w:space="0" w:color="auto"/>
            </w:tcBorders>
            <w:vAlign w:val="center"/>
            <w:hideMark/>
          </w:tcPr>
          <w:p w:rsidR="00116588" w:rsidRDefault="00116588" w:rsidP="0087567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坚持各项制度落实，坚持记录处室工作日志。</w:t>
            </w:r>
          </w:p>
        </w:tc>
        <w:tc>
          <w:tcPr>
            <w:tcW w:w="1620" w:type="dxa"/>
            <w:tcBorders>
              <w:top w:val="nil"/>
              <w:left w:val="nil"/>
              <w:bottom w:val="single" w:sz="4" w:space="0" w:color="auto"/>
              <w:right w:val="single" w:sz="4" w:space="0" w:color="auto"/>
            </w:tcBorders>
            <w:vAlign w:val="center"/>
            <w:hideMark/>
          </w:tcPr>
          <w:p w:rsidR="00116588" w:rsidRDefault="00116588" w:rsidP="00875673">
            <w:pPr>
              <w:widowControl/>
              <w:jc w:val="center"/>
              <w:rPr>
                <w:rFonts w:ascii="宋体" w:hAnsi="宋体" w:cs="宋体"/>
                <w:kern w:val="0"/>
                <w:sz w:val="24"/>
              </w:rPr>
            </w:pPr>
            <w:r>
              <w:rPr>
                <w:rFonts w:ascii="宋体" w:hAnsi="宋体" w:cs="宋体" w:hint="eastAsia"/>
                <w:kern w:val="0"/>
                <w:sz w:val="24"/>
              </w:rPr>
              <w:t>全年开展</w:t>
            </w:r>
          </w:p>
        </w:tc>
      </w:tr>
    </w:tbl>
    <w:p w:rsidR="00116588" w:rsidRDefault="00116588" w:rsidP="00116588">
      <w:pPr>
        <w:spacing w:line="360" w:lineRule="auto"/>
        <w:ind w:firstLineChars="200" w:firstLine="640"/>
        <w:rPr>
          <w:rFonts w:ascii="黑体" w:eastAsia="黑体" w:hint="eastAsia"/>
          <w:sz w:val="32"/>
          <w:szCs w:val="32"/>
        </w:rPr>
      </w:pPr>
    </w:p>
    <w:p w:rsidR="00116588" w:rsidRPr="008C51A0" w:rsidRDefault="00116588" w:rsidP="00116588">
      <w:pPr>
        <w:spacing w:line="480" w:lineRule="auto"/>
        <w:rPr>
          <w:rFonts w:ascii="宋体" w:hAnsi="宋体"/>
          <w:spacing w:val="20"/>
          <w:szCs w:val="21"/>
        </w:rPr>
      </w:pPr>
    </w:p>
    <w:p w:rsidR="00AD142B" w:rsidRDefault="00AD142B"/>
    <w:sectPr w:rsidR="00AD142B" w:rsidSect="00116588">
      <w:footerReference w:type="even" r:id="rId6"/>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2B" w:rsidRDefault="00AD142B" w:rsidP="00116588">
      <w:r>
        <w:separator/>
      </w:r>
    </w:p>
  </w:endnote>
  <w:endnote w:type="continuationSeparator" w:id="1">
    <w:p w:rsidR="00AD142B" w:rsidRDefault="00AD142B" w:rsidP="00116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A0" w:rsidRPr="001F09DD" w:rsidRDefault="00AD142B" w:rsidP="001F09DD">
    <w:pPr>
      <w:pStyle w:val="a4"/>
      <w:rPr>
        <w:sz w:val="24"/>
      </w:rPr>
    </w:pPr>
    <w:r w:rsidRPr="001F09DD">
      <w:rPr>
        <w:sz w:val="24"/>
      </w:rPr>
      <w:fldChar w:fldCharType="begin"/>
    </w:r>
    <w:r w:rsidRPr="001F09DD">
      <w:rPr>
        <w:sz w:val="24"/>
      </w:rPr>
      <w:instrText xml:space="preserve"> PAGE   \* MERGEFORMAT </w:instrText>
    </w:r>
    <w:r w:rsidRPr="001F09DD">
      <w:rPr>
        <w:sz w:val="24"/>
      </w:rPr>
      <w:fldChar w:fldCharType="separate"/>
    </w:r>
    <w:r w:rsidRPr="00A9422E">
      <w:rPr>
        <w:noProof/>
        <w:sz w:val="24"/>
        <w:lang w:val="zh-CN"/>
      </w:rPr>
      <w:t>-</w:t>
    </w:r>
    <w:r>
      <w:rPr>
        <w:noProof/>
        <w:sz w:val="24"/>
      </w:rPr>
      <w:t xml:space="preserve"> 8 -</w:t>
    </w:r>
    <w:r w:rsidRPr="001F09DD">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A0" w:rsidRPr="001F09DD" w:rsidRDefault="00AD142B" w:rsidP="001F09DD">
    <w:pPr>
      <w:pStyle w:val="a4"/>
      <w:jc w:val="right"/>
      <w:rPr>
        <w:sz w:val="24"/>
      </w:rPr>
    </w:pPr>
    <w:r w:rsidRPr="001F09DD">
      <w:rPr>
        <w:sz w:val="24"/>
      </w:rPr>
      <w:fldChar w:fldCharType="begin"/>
    </w:r>
    <w:r w:rsidRPr="001F09DD">
      <w:rPr>
        <w:sz w:val="24"/>
      </w:rPr>
      <w:instrText xml:space="preserve"> PAGE   \* MERGEFORMAT </w:instrText>
    </w:r>
    <w:r w:rsidRPr="001F09DD">
      <w:rPr>
        <w:sz w:val="24"/>
      </w:rPr>
      <w:fldChar w:fldCharType="separate"/>
    </w:r>
    <w:r w:rsidR="00116588" w:rsidRPr="00116588">
      <w:rPr>
        <w:noProof/>
        <w:sz w:val="24"/>
        <w:lang w:val="zh-CN"/>
      </w:rPr>
      <w:t>1</w:t>
    </w:r>
    <w:r w:rsidRPr="001F09DD">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2B" w:rsidRDefault="00AD142B" w:rsidP="00116588">
      <w:r>
        <w:separator/>
      </w:r>
    </w:p>
  </w:footnote>
  <w:footnote w:type="continuationSeparator" w:id="1">
    <w:p w:rsidR="00AD142B" w:rsidRDefault="00AD142B" w:rsidP="001165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588"/>
    <w:rsid w:val="00116588"/>
    <w:rsid w:val="00AD1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65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6588"/>
    <w:rPr>
      <w:sz w:val="18"/>
      <w:szCs w:val="18"/>
    </w:rPr>
  </w:style>
  <w:style w:type="paragraph" w:styleId="a4">
    <w:name w:val="footer"/>
    <w:basedOn w:val="a"/>
    <w:link w:val="Char0"/>
    <w:uiPriority w:val="99"/>
    <w:unhideWhenUsed/>
    <w:rsid w:val="001165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65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2490</Characters>
  <Application>Microsoft Office Word</Application>
  <DocSecurity>0</DocSecurity>
  <Lines>20</Lines>
  <Paragraphs>5</Paragraphs>
  <ScaleCrop>false</ScaleCrop>
  <Company>Lenovo (Beijing) Limited</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2</cp:revision>
  <dcterms:created xsi:type="dcterms:W3CDTF">2015-03-26T08:40:00Z</dcterms:created>
  <dcterms:modified xsi:type="dcterms:W3CDTF">2015-03-26T08:40:00Z</dcterms:modified>
</cp:coreProperties>
</file>