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hint="eastAsia" w:eastAsia="方正黑体简体"/>
          <w:szCs w:val="32"/>
          <w:lang w:val="en-US" w:eastAsia="zh-CN"/>
        </w:rPr>
      </w:pPr>
      <w:r>
        <w:rPr>
          <w:rFonts w:eastAsia="方正黑体简体"/>
          <w:szCs w:val="32"/>
        </w:rPr>
        <w:t>附件2</w:t>
      </w:r>
      <w:r>
        <w:rPr>
          <w:rFonts w:hint="eastAsia" w:eastAsia="方正黑体简体"/>
          <w:szCs w:val="32"/>
          <w:lang w:val="en-US" w:eastAsia="zh-CN"/>
        </w:rPr>
        <w:t xml:space="preserve">                </w:t>
      </w:r>
    </w:p>
    <w:p>
      <w:pPr>
        <w:spacing w:line="594" w:lineRule="exact"/>
        <w:jc w:val="center"/>
        <w:rPr>
          <w:rFonts w:eastAsia="方正小标宋简体"/>
          <w:sz w:val="44"/>
          <w:szCs w:val="44"/>
        </w:rPr>
      </w:pPr>
      <w:r>
        <w:rPr>
          <w:rFonts w:eastAsia="方正小标宋简体"/>
          <w:sz w:val="44"/>
          <w:szCs w:val="44"/>
        </w:rPr>
        <w:t>现场监督检查工作内容</w:t>
      </w:r>
      <w:bookmarkStart w:id="0" w:name="_GoBack"/>
      <w:bookmarkEnd w:id="0"/>
    </w:p>
    <w:p>
      <w:pPr>
        <w:spacing w:line="594" w:lineRule="exact"/>
        <w:rPr>
          <w:rFonts w:eastAsia="方正黑体简体"/>
          <w:szCs w:val="32"/>
        </w:rPr>
      </w:pPr>
    </w:p>
    <w:tbl>
      <w:tblPr>
        <w:tblStyle w:val="3"/>
        <w:tblW w:w="134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418"/>
        <w:gridCol w:w="1417"/>
        <w:gridCol w:w="9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072" w:type="dxa"/>
            <w:shd w:val="clear" w:color="auto" w:fill="auto"/>
            <w:vAlign w:val="top"/>
          </w:tcPr>
          <w:p>
            <w:pPr>
              <w:spacing w:line="320" w:lineRule="exact"/>
              <w:jc w:val="center"/>
              <w:rPr>
                <w:rFonts w:eastAsia="方正黑体简体"/>
                <w:sz w:val="24"/>
              </w:rPr>
            </w:pPr>
            <w:r>
              <w:rPr>
                <w:rFonts w:eastAsia="方正黑体简体"/>
                <w:sz w:val="24"/>
              </w:rPr>
              <w:t>序号</w:t>
            </w:r>
          </w:p>
        </w:tc>
        <w:tc>
          <w:tcPr>
            <w:tcW w:w="1418" w:type="dxa"/>
            <w:shd w:val="clear" w:color="auto" w:fill="auto"/>
            <w:vAlign w:val="top"/>
          </w:tcPr>
          <w:p>
            <w:pPr>
              <w:spacing w:line="320" w:lineRule="exact"/>
              <w:jc w:val="center"/>
              <w:rPr>
                <w:rFonts w:eastAsia="方正黑体简体"/>
                <w:sz w:val="24"/>
              </w:rPr>
            </w:pPr>
            <w:r>
              <w:rPr>
                <w:rFonts w:eastAsia="方正黑体简体"/>
                <w:sz w:val="24"/>
              </w:rPr>
              <w:t>产品名称</w:t>
            </w:r>
          </w:p>
        </w:tc>
        <w:tc>
          <w:tcPr>
            <w:tcW w:w="1417" w:type="dxa"/>
            <w:shd w:val="clear" w:color="auto" w:fill="auto"/>
            <w:vAlign w:val="top"/>
          </w:tcPr>
          <w:p>
            <w:pPr>
              <w:spacing w:line="320" w:lineRule="exact"/>
              <w:jc w:val="center"/>
              <w:rPr>
                <w:rFonts w:eastAsia="方正黑体简体"/>
                <w:sz w:val="24"/>
              </w:rPr>
            </w:pPr>
            <w:r>
              <w:rPr>
                <w:rFonts w:eastAsia="方正黑体简体"/>
                <w:sz w:val="24"/>
              </w:rPr>
              <w:t>检查项目</w:t>
            </w:r>
          </w:p>
        </w:tc>
        <w:tc>
          <w:tcPr>
            <w:tcW w:w="9577" w:type="dxa"/>
            <w:shd w:val="clear" w:color="auto" w:fill="auto"/>
            <w:vAlign w:val="top"/>
          </w:tcPr>
          <w:p>
            <w:pPr>
              <w:spacing w:line="320" w:lineRule="exact"/>
              <w:jc w:val="center"/>
              <w:rPr>
                <w:rFonts w:eastAsia="方正黑体简体"/>
                <w:sz w:val="24"/>
              </w:rPr>
            </w:pPr>
            <w:r>
              <w:rPr>
                <w:rFonts w:eastAsia="方正黑体简体"/>
                <w:sz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2" w:type="dxa"/>
            <w:vMerge w:val="restart"/>
            <w:shd w:val="clear" w:color="auto" w:fill="auto"/>
            <w:vAlign w:val="center"/>
          </w:tcPr>
          <w:p>
            <w:pPr>
              <w:spacing w:line="320" w:lineRule="exact"/>
              <w:jc w:val="center"/>
              <w:rPr>
                <w:sz w:val="24"/>
              </w:rPr>
            </w:pPr>
            <w:r>
              <w:rPr>
                <w:sz w:val="24"/>
              </w:rPr>
              <w:t>1</w:t>
            </w:r>
          </w:p>
        </w:tc>
        <w:tc>
          <w:tcPr>
            <w:tcW w:w="1418" w:type="dxa"/>
            <w:vMerge w:val="restart"/>
            <w:shd w:val="clear" w:color="auto" w:fill="auto"/>
            <w:vAlign w:val="center"/>
          </w:tcPr>
          <w:p>
            <w:pPr>
              <w:spacing w:line="320" w:lineRule="exact"/>
              <w:jc w:val="center"/>
              <w:rPr>
                <w:sz w:val="24"/>
              </w:rPr>
            </w:pPr>
            <w:r>
              <w:rPr>
                <w:sz w:val="24"/>
              </w:rPr>
              <w:t>危险化学品</w:t>
            </w:r>
          </w:p>
        </w:tc>
        <w:tc>
          <w:tcPr>
            <w:tcW w:w="1417" w:type="dxa"/>
            <w:shd w:val="clear" w:color="auto" w:fill="auto"/>
            <w:vAlign w:val="center"/>
          </w:tcPr>
          <w:p>
            <w:pPr>
              <w:spacing w:line="320" w:lineRule="exact"/>
              <w:jc w:val="center"/>
              <w:rPr>
                <w:sz w:val="24"/>
              </w:rPr>
            </w:pPr>
            <w:r>
              <w:rPr>
                <w:sz w:val="24"/>
              </w:rPr>
              <w:t>证照信息</w:t>
            </w:r>
          </w:p>
        </w:tc>
        <w:tc>
          <w:tcPr>
            <w:tcW w:w="9577" w:type="dxa"/>
            <w:shd w:val="clear" w:color="auto" w:fill="auto"/>
            <w:vAlign w:val="top"/>
          </w:tcPr>
          <w:p>
            <w:pPr>
              <w:spacing w:line="320" w:lineRule="exact"/>
              <w:rPr>
                <w:sz w:val="24"/>
              </w:rPr>
            </w:pPr>
            <w:r>
              <w:rPr>
                <w:sz w:val="24"/>
              </w:rPr>
              <w:t>检查企业营业执照和生产许可证有关信息是否一致，企业是否存在超生产许可范围生产行为。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2" w:type="dxa"/>
            <w:vMerge w:val="continue"/>
            <w:shd w:val="clear" w:color="auto" w:fill="auto"/>
            <w:vAlign w:val="center"/>
          </w:tcPr>
          <w:p>
            <w:pPr>
              <w:spacing w:line="320" w:lineRule="exact"/>
              <w:jc w:val="center"/>
              <w:rPr>
                <w:sz w:val="24"/>
              </w:rPr>
            </w:pPr>
          </w:p>
        </w:tc>
        <w:tc>
          <w:tcPr>
            <w:tcW w:w="1418" w:type="dxa"/>
            <w:vMerge w:val="continue"/>
            <w:shd w:val="clear" w:color="auto" w:fill="auto"/>
            <w:vAlign w:val="center"/>
          </w:tcPr>
          <w:p>
            <w:pPr>
              <w:spacing w:line="320" w:lineRule="exact"/>
              <w:jc w:val="center"/>
              <w:rPr>
                <w:sz w:val="24"/>
              </w:rPr>
            </w:pPr>
          </w:p>
        </w:tc>
        <w:tc>
          <w:tcPr>
            <w:tcW w:w="1417" w:type="dxa"/>
            <w:shd w:val="clear" w:color="auto" w:fill="auto"/>
            <w:vAlign w:val="center"/>
          </w:tcPr>
          <w:p>
            <w:pPr>
              <w:spacing w:line="320" w:lineRule="exact"/>
              <w:jc w:val="center"/>
              <w:rPr>
                <w:sz w:val="24"/>
              </w:rPr>
            </w:pPr>
            <w:r>
              <w:rPr>
                <w:sz w:val="24"/>
              </w:rPr>
              <w:t>生产设施和设备</w:t>
            </w:r>
          </w:p>
        </w:tc>
        <w:tc>
          <w:tcPr>
            <w:tcW w:w="9577" w:type="dxa"/>
            <w:shd w:val="clear" w:color="auto" w:fill="auto"/>
            <w:vAlign w:val="top"/>
          </w:tcPr>
          <w:p>
            <w:pPr>
              <w:spacing w:line="320" w:lineRule="exact"/>
              <w:rPr>
                <w:sz w:val="24"/>
              </w:rPr>
            </w:pPr>
            <w:r>
              <w:rPr>
                <w:sz w:val="24"/>
              </w:rPr>
              <w:t>主要检查是否具备满足实施细则规定的生产设施，是否具备实施细则中规定的必备生产设备和检测设备，设备性能和精度是否满足生产、检测要求；设备是否维护完好，运行正常，是否存在安全隐患，是否带病运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2" w:type="dxa"/>
            <w:vMerge w:val="continue"/>
            <w:shd w:val="clear" w:color="auto" w:fill="auto"/>
            <w:vAlign w:val="center"/>
          </w:tcPr>
          <w:p>
            <w:pPr>
              <w:spacing w:line="320" w:lineRule="exact"/>
              <w:jc w:val="center"/>
              <w:rPr>
                <w:sz w:val="24"/>
              </w:rPr>
            </w:pPr>
          </w:p>
        </w:tc>
        <w:tc>
          <w:tcPr>
            <w:tcW w:w="1418" w:type="dxa"/>
            <w:vMerge w:val="continue"/>
            <w:shd w:val="clear" w:color="auto" w:fill="auto"/>
            <w:vAlign w:val="center"/>
          </w:tcPr>
          <w:p>
            <w:pPr>
              <w:spacing w:line="320" w:lineRule="exact"/>
              <w:jc w:val="center"/>
              <w:rPr>
                <w:sz w:val="24"/>
              </w:rPr>
            </w:pPr>
          </w:p>
        </w:tc>
        <w:tc>
          <w:tcPr>
            <w:tcW w:w="1417" w:type="dxa"/>
            <w:shd w:val="clear" w:color="auto" w:fill="auto"/>
            <w:vAlign w:val="center"/>
          </w:tcPr>
          <w:p>
            <w:pPr>
              <w:spacing w:line="320" w:lineRule="exact"/>
              <w:jc w:val="center"/>
              <w:rPr>
                <w:sz w:val="24"/>
              </w:rPr>
            </w:pPr>
            <w:r>
              <w:rPr>
                <w:sz w:val="24"/>
              </w:rPr>
              <w:t>过程控制</w:t>
            </w:r>
          </w:p>
        </w:tc>
        <w:tc>
          <w:tcPr>
            <w:tcW w:w="9577" w:type="dxa"/>
            <w:shd w:val="clear" w:color="auto" w:fill="auto"/>
            <w:vAlign w:val="top"/>
          </w:tcPr>
          <w:p>
            <w:pPr>
              <w:spacing w:line="320" w:lineRule="exact"/>
              <w:rPr>
                <w:sz w:val="24"/>
              </w:rPr>
            </w:pPr>
            <w:r>
              <w:rPr>
                <w:sz w:val="24"/>
              </w:rPr>
              <w:t>粗苯、焦化苯、焦化甲苯和工业二硫化碳重点检查精馏装置工艺规定、工艺文件指标设置是否合理；溶解乙炔重点检查生产过程是否有丙酮添加记录、丙酮含量检验项目，同时查阅丙酮采购合同、发票、入库记录；液化石油气（商品丙丁烷混合物）重点检查组分及杂质控制要求；车用汽油重点检查硫含量、苯含量、研究法辛烷值相关记录；工业氢氧化钠、工业用液氯、次氯酸钠重点检查电解工艺文件指标设置是否合理、工艺控制是否符合规定、原辅料及成品的贮存设施是否维护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2" w:type="dxa"/>
            <w:vMerge w:val="continue"/>
            <w:shd w:val="clear" w:color="auto" w:fill="auto"/>
            <w:vAlign w:val="top"/>
          </w:tcPr>
          <w:p>
            <w:pPr>
              <w:spacing w:line="320" w:lineRule="exact"/>
              <w:jc w:val="center"/>
              <w:rPr>
                <w:sz w:val="24"/>
              </w:rPr>
            </w:pPr>
          </w:p>
        </w:tc>
        <w:tc>
          <w:tcPr>
            <w:tcW w:w="1418" w:type="dxa"/>
            <w:vMerge w:val="continue"/>
            <w:shd w:val="clear" w:color="auto" w:fill="auto"/>
            <w:vAlign w:val="top"/>
          </w:tcPr>
          <w:p>
            <w:pPr>
              <w:spacing w:line="320" w:lineRule="exact"/>
              <w:jc w:val="center"/>
              <w:rPr>
                <w:sz w:val="24"/>
              </w:rPr>
            </w:pPr>
          </w:p>
        </w:tc>
        <w:tc>
          <w:tcPr>
            <w:tcW w:w="1417" w:type="dxa"/>
            <w:shd w:val="clear" w:color="auto" w:fill="auto"/>
            <w:vAlign w:val="center"/>
          </w:tcPr>
          <w:p>
            <w:pPr>
              <w:spacing w:line="320" w:lineRule="exact"/>
              <w:jc w:val="center"/>
              <w:rPr>
                <w:sz w:val="24"/>
              </w:rPr>
            </w:pPr>
            <w:r>
              <w:rPr>
                <w:sz w:val="24"/>
              </w:rPr>
              <w:t>标识标注</w:t>
            </w:r>
          </w:p>
        </w:tc>
        <w:tc>
          <w:tcPr>
            <w:tcW w:w="9577" w:type="dxa"/>
            <w:shd w:val="clear" w:color="auto" w:fill="auto"/>
            <w:vAlign w:val="top"/>
          </w:tcPr>
          <w:p>
            <w:pPr>
              <w:spacing w:line="320" w:lineRule="exact"/>
              <w:rPr>
                <w:sz w:val="24"/>
              </w:rPr>
            </w:pPr>
            <w:r>
              <w:rPr>
                <w:sz w:val="24"/>
              </w:rPr>
              <w:t>重点检查获证企业对生产许可证标志使用的合规性，是否存在不标注或超范围标注的情况。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2" w:type="dxa"/>
            <w:vMerge w:val="restart"/>
            <w:shd w:val="clear" w:color="auto" w:fill="auto"/>
            <w:vAlign w:val="center"/>
          </w:tcPr>
          <w:p>
            <w:pPr>
              <w:spacing w:line="320" w:lineRule="exact"/>
              <w:jc w:val="center"/>
              <w:rPr>
                <w:sz w:val="24"/>
              </w:rPr>
            </w:pPr>
            <w:r>
              <w:rPr>
                <w:sz w:val="24"/>
              </w:rPr>
              <w:t>2</w:t>
            </w:r>
          </w:p>
        </w:tc>
        <w:tc>
          <w:tcPr>
            <w:tcW w:w="1418" w:type="dxa"/>
            <w:vMerge w:val="restart"/>
            <w:shd w:val="clear" w:color="auto" w:fill="auto"/>
            <w:vAlign w:val="center"/>
          </w:tcPr>
          <w:p>
            <w:pPr>
              <w:spacing w:line="320" w:lineRule="exact"/>
              <w:jc w:val="center"/>
              <w:rPr>
                <w:sz w:val="24"/>
              </w:rPr>
            </w:pPr>
            <w:r>
              <w:rPr>
                <w:sz w:val="24"/>
              </w:rPr>
              <w:t>危险化学品包装物及容器</w:t>
            </w:r>
          </w:p>
        </w:tc>
        <w:tc>
          <w:tcPr>
            <w:tcW w:w="1417" w:type="dxa"/>
            <w:shd w:val="clear" w:color="auto" w:fill="auto"/>
            <w:vAlign w:val="center"/>
          </w:tcPr>
          <w:p>
            <w:pPr>
              <w:spacing w:line="320" w:lineRule="exact"/>
              <w:jc w:val="center"/>
              <w:rPr>
                <w:sz w:val="24"/>
              </w:rPr>
            </w:pPr>
            <w:r>
              <w:rPr>
                <w:sz w:val="24"/>
              </w:rPr>
              <w:t>证照信息</w:t>
            </w:r>
          </w:p>
        </w:tc>
        <w:tc>
          <w:tcPr>
            <w:tcW w:w="9577" w:type="dxa"/>
            <w:shd w:val="clear" w:color="auto" w:fill="auto"/>
            <w:vAlign w:val="top"/>
          </w:tcPr>
          <w:p>
            <w:pPr>
              <w:spacing w:line="320" w:lineRule="exact"/>
              <w:rPr>
                <w:sz w:val="24"/>
              </w:rPr>
            </w:pPr>
            <w:r>
              <w:rPr>
                <w:sz w:val="24"/>
              </w:rPr>
              <w:t>检查企业营业执照和生产许可证有关信息是否一致，企业是否存在超生产许可证范围生产行为。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2" w:type="dxa"/>
            <w:vMerge w:val="continue"/>
            <w:shd w:val="clear" w:color="auto" w:fill="auto"/>
            <w:vAlign w:val="top"/>
          </w:tcPr>
          <w:p>
            <w:pPr>
              <w:spacing w:line="320" w:lineRule="exact"/>
              <w:jc w:val="center"/>
              <w:rPr>
                <w:sz w:val="24"/>
              </w:rPr>
            </w:pPr>
          </w:p>
        </w:tc>
        <w:tc>
          <w:tcPr>
            <w:tcW w:w="1418" w:type="dxa"/>
            <w:vMerge w:val="continue"/>
            <w:shd w:val="clear" w:color="auto" w:fill="auto"/>
            <w:vAlign w:val="top"/>
          </w:tcPr>
          <w:p>
            <w:pPr>
              <w:spacing w:line="320" w:lineRule="exact"/>
              <w:jc w:val="center"/>
              <w:rPr>
                <w:sz w:val="24"/>
              </w:rPr>
            </w:pPr>
          </w:p>
        </w:tc>
        <w:tc>
          <w:tcPr>
            <w:tcW w:w="1417" w:type="dxa"/>
            <w:shd w:val="clear" w:color="auto" w:fill="auto"/>
            <w:vAlign w:val="center"/>
          </w:tcPr>
          <w:p>
            <w:pPr>
              <w:spacing w:line="320" w:lineRule="exact"/>
              <w:jc w:val="center"/>
              <w:rPr>
                <w:sz w:val="24"/>
              </w:rPr>
            </w:pPr>
            <w:r>
              <w:rPr>
                <w:sz w:val="24"/>
              </w:rPr>
              <w:t>关键设备</w:t>
            </w:r>
          </w:p>
        </w:tc>
        <w:tc>
          <w:tcPr>
            <w:tcW w:w="9577" w:type="dxa"/>
            <w:shd w:val="clear" w:color="auto" w:fill="auto"/>
            <w:vAlign w:val="top"/>
          </w:tcPr>
          <w:p>
            <w:pPr>
              <w:spacing w:line="320" w:lineRule="exact"/>
              <w:rPr>
                <w:sz w:val="24"/>
              </w:rPr>
            </w:pPr>
            <w:r>
              <w:rPr>
                <w:sz w:val="24"/>
              </w:rPr>
              <w:t>生产设备重点检查气雾罐罐口、塑料容器成型设备的模具精度，钢桶、铁质气雾罐和金属桶罐焊接和卷封等关键工序工艺参数的设置和控制；检测设备重点检查重要性能的检测仪器仪表，如本次排查重点产品气密、液压试验设备，钢桶、金属桶罐和塑料容器跌落试验装置、塑料容器高温堆码试验设备是否在校验期内正常使用，检验人员能否正确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2" w:type="dxa"/>
            <w:vMerge w:val="continue"/>
            <w:shd w:val="clear" w:color="auto" w:fill="auto"/>
            <w:vAlign w:val="top"/>
          </w:tcPr>
          <w:p>
            <w:pPr>
              <w:spacing w:line="320" w:lineRule="exact"/>
              <w:jc w:val="center"/>
              <w:rPr>
                <w:sz w:val="24"/>
              </w:rPr>
            </w:pPr>
          </w:p>
        </w:tc>
        <w:tc>
          <w:tcPr>
            <w:tcW w:w="1418" w:type="dxa"/>
            <w:vMerge w:val="continue"/>
            <w:shd w:val="clear" w:color="auto" w:fill="auto"/>
            <w:vAlign w:val="center"/>
          </w:tcPr>
          <w:p>
            <w:pPr>
              <w:spacing w:line="320" w:lineRule="exact"/>
              <w:jc w:val="center"/>
              <w:rPr>
                <w:sz w:val="24"/>
              </w:rPr>
            </w:pPr>
          </w:p>
        </w:tc>
        <w:tc>
          <w:tcPr>
            <w:tcW w:w="1417" w:type="dxa"/>
            <w:shd w:val="clear" w:color="auto" w:fill="auto"/>
            <w:vAlign w:val="center"/>
          </w:tcPr>
          <w:p>
            <w:pPr>
              <w:spacing w:line="320" w:lineRule="exact"/>
              <w:jc w:val="center"/>
              <w:rPr>
                <w:sz w:val="24"/>
              </w:rPr>
            </w:pPr>
            <w:r>
              <w:rPr>
                <w:sz w:val="24"/>
              </w:rPr>
              <w:t>过程控制</w:t>
            </w:r>
          </w:p>
        </w:tc>
        <w:tc>
          <w:tcPr>
            <w:tcW w:w="9577" w:type="dxa"/>
            <w:shd w:val="clear" w:color="auto" w:fill="auto"/>
            <w:vAlign w:val="top"/>
          </w:tcPr>
          <w:p>
            <w:pPr>
              <w:spacing w:line="320" w:lineRule="exact"/>
              <w:rPr>
                <w:sz w:val="24"/>
              </w:rPr>
            </w:pPr>
            <w:r>
              <w:rPr>
                <w:sz w:val="24"/>
              </w:rPr>
              <w:t>重点查验进货检验如钢桶、铁质气雾罐和金属桶罐的原材料钢板质量记录；生产过程监控如冲压膜具安装精度、注胶、缝焊、卷封等关键工艺参数记录；过程检验如气雾罐罐口接触高度、内涂层完整性记录；出厂检验和重要性能如本次排查重点产品的密封性、耐跌落性、耐液压性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2" w:type="dxa"/>
            <w:vMerge w:val="continue"/>
            <w:shd w:val="clear" w:color="auto" w:fill="auto"/>
            <w:vAlign w:val="top"/>
          </w:tcPr>
          <w:p>
            <w:pPr>
              <w:spacing w:line="320" w:lineRule="exact"/>
              <w:jc w:val="center"/>
              <w:rPr>
                <w:sz w:val="24"/>
              </w:rPr>
            </w:pPr>
          </w:p>
        </w:tc>
        <w:tc>
          <w:tcPr>
            <w:tcW w:w="1418" w:type="dxa"/>
            <w:vMerge w:val="continue"/>
            <w:shd w:val="clear" w:color="auto" w:fill="auto"/>
            <w:vAlign w:val="center"/>
          </w:tcPr>
          <w:p>
            <w:pPr>
              <w:spacing w:line="320" w:lineRule="exact"/>
              <w:jc w:val="center"/>
              <w:rPr>
                <w:sz w:val="24"/>
              </w:rPr>
            </w:pPr>
          </w:p>
        </w:tc>
        <w:tc>
          <w:tcPr>
            <w:tcW w:w="1417" w:type="dxa"/>
            <w:shd w:val="clear" w:color="auto" w:fill="auto"/>
            <w:vAlign w:val="center"/>
          </w:tcPr>
          <w:p>
            <w:pPr>
              <w:spacing w:line="320" w:lineRule="exact"/>
              <w:jc w:val="center"/>
              <w:rPr>
                <w:sz w:val="24"/>
              </w:rPr>
            </w:pPr>
            <w:r>
              <w:rPr>
                <w:sz w:val="24"/>
              </w:rPr>
              <w:t>标识标注</w:t>
            </w:r>
          </w:p>
        </w:tc>
        <w:tc>
          <w:tcPr>
            <w:tcW w:w="9577" w:type="dxa"/>
            <w:shd w:val="clear" w:color="auto" w:fill="auto"/>
            <w:vAlign w:val="top"/>
          </w:tcPr>
          <w:p>
            <w:pPr>
              <w:spacing w:line="320" w:lineRule="exact"/>
              <w:rPr>
                <w:sz w:val="24"/>
              </w:rPr>
            </w:pPr>
            <w:r>
              <w:rPr>
                <w:sz w:val="24"/>
              </w:rPr>
              <w:t>重点检查企业对生产许可证标志使用的合规性，是否存在不标注或超范围标注的情况。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2" w:type="dxa"/>
            <w:vMerge w:val="restart"/>
            <w:shd w:val="clear" w:color="auto" w:fill="auto"/>
            <w:vAlign w:val="center"/>
          </w:tcPr>
          <w:p>
            <w:pPr>
              <w:spacing w:line="320" w:lineRule="exact"/>
              <w:jc w:val="center"/>
              <w:rPr>
                <w:sz w:val="24"/>
              </w:rPr>
            </w:pPr>
            <w:r>
              <w:rPr>
                <w:sz w:val="24"/>
              </w:rPr>
              <w:t>3</w:t>
            </w:r>
          </w:p>
        </w:tc>
        <w:tc>
          <w:tcPr>
            <w:tcW w:w="1418" w:type="dxa"/>
            <w:vMerge w:val="restart"/>
            <w:shd w:val="clear" w:color="auto" w:fill="auto"/>
            <w:vAlign w:val="center"/>
          </w:tcPr>
          <w:p>
            <w:pPr>
              <w:spacing w:line="320" w:lineRule="exact"/>
              <w:jc w:val="center"/>
              <w:rPr>
                <w:sz w:val="24"/>
              </w:rPr>
            </w:pPr>
            <w:r>
              <w:rPr>
                <w:sz w:val="24"/>
              </w:rPr>
              <w:t>危险化学品车载罐体</w:t>
            </w:r>
          </w:p>
        </w:tc>
        <w:tc>
          <w:tcPr>
            <w:tcW w:w="1417" w:type="dxa"/>
            <w:shd w:val="clear" w:color="auto" w:fill="auto"/>
            <w:vAlign w:val="center"/>
          </w:tcPr>
          <w:p>
            <w:pPr>
              <w:spacing w:line="320" w:lineRule="exact"/>
              <w:jc w:val="center"/>
              <w:rPr>
                <w:sz w:val="24"/>
              </w:rPr>
            </w:pPr>
            <w:r>
              <w:rPr>
                <w:sz w:val="24"/>
              </w:rPr>
              <w:t>证照信息</w:t>
            </w:r>
          </w:p>
        </w:tc>
        <w:tc>
          <w:tcPr>
            <w:tcW w:w="9577" w:type="dxa"/>
            <w:shd w:val="clear" w:color="auto" w:fill="auto"/>
            <w:vAlign w:val="top"/>
          </w:tcPr>
          <w:p>
            <w:pPr>
              <w:spacing w:line="320" w:lineRule="exact"/>
              <w:rPr>
                <w:sz w:val="24"/>
              </w:rPr>
            </w:pPr>
            <w:r>
              <w:rPr>
                <w:sz w:val="24"/>
              </w:rPr>
              <w:t>重点检查企业营业执照和生产许可证有关信息是否一致；企业是否存在超生产许可范围生产行为。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2" w:type="dxa"/>
            <w:vMerge w:val="continue"/>
            <w:shd w:val="clear" w:color="auto" w:fill="auto"/>
            <w:vAlign w:val="top"/>
          </w:tcPr>
          <w:p>
            <w:pPr>
              <w:spacing w:line="320" w:lineRule="exact"/>
              <w:jc w:val="center"/>
              <w:rPr>
                <w:sz w:val="24"/>
              </w:rPr>
            </w:pPr>
          </w:p>
        </w:tc>
        <w:tc>
          <w:tcPr>
            <w:tcW w:w="1418" w:type="dxa"/>
            <w:vMerge w:val="continue"/>
            <w:shd w:val="clear" w:color="auto" w:fill="auto"/>
            <w:vAlign w:val="center"/>
          </w:tcPr>
          <w:p>
            <w:pPr>
              <w:spacing w:line="320" w:lineRule="exact"/>
              <w:jc w:val="center"/>
              <w:rPr>
                <w:sz w:val="24"/>
              </w:rPr>
            </w:pPr>
          </w:p>
        </w:tc>
        <w:tc>
          <w:tcPr>
            <w:tcW w:w="1417" w:type="dxa"/>
            <w:shd w:val="clear" w:color="auto" w:fill="auto"/>
            <w:vAlign w:val="center"/>
          </w:tcPr>
          <w:p>
            <w:pPr>
              <w:spacing w:line="320" w:lineRule="exact"/>
              <w:jc w:val="center"/>
              <w:rPr>
                <w:sz w:val="24"/>
              </w:rPr>
            </w:pPr>
            <w:r>
              <w:rPr>
                <w:sz w:val="24"/>
              </w:rPr>
              <w:t>关键设备</w:t>
            </w:r>
          </w:p>
        </w:tc>
        <w:tc>
          <w:tcPr>
            <w:tcW w:w="9577" w:type="dxa"/>
            <w:shd w:val="clear" w:color="auto" w:fill="auto"/>
            <w:vAlign w:val="top"/>
          </w:tcPr>
          <w:p>
            <w:pPr>
              <w:spacing w:line="320" w:lineRule="exact"/>
              <w:rPr>
                <w:sz w:val="24"/>
              </w:rPr>
            </w:pPr>
            <w:r>
              <w:rPr>
                <w:sz w:val="24"/>
              </w:rPr>
              <w:t>检查是否具备《危险化学品包装物、容器产品实施细则（二）罐体产品部分》涉及车载钢罐体和车载铝罐体产品规定的生产设备、检验设备等，重点检查生产设备中的焊接设备、封头成型（外购除外）装置是否完好并得到定期的维护保养；检验设备中的耐压试验装置、射线检测设备（委托有资质检验机构检测的，不适用）、观片灯、呼吸阀试验台、测厚仪是否在校验期内且能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2" w:type="dxa"/>
            <w:vMerge w:val="continue"/>
            <w:shd w:val="clear" w:color="auto" w:fill="auto"/>
            <w:vAlign w:val="top"/>
          </w:tcPr>
          <w:p>
            <w:pPr>
              <w:spacing w:line="320" w:lineRule="exact"/>
              <w:jc w:val="center"/>
              <w:rPr>
                <w:sz w:val="24"/>
              </w:rPr>
            </w:pPr>
          </w:p>
        </w:tc>
        <w:tc>
          <w:tcPr>
            <w:tcW w:w="1418" w:type="dxa"/>
            <w:vMerge w:val="continue"/>
            <w:shd w:val="clear" w:color="auto" w:fill="auto"/>
            <w:vAlign w:val="center"/>
          </w:tcPr>
          <w:p>
            <w:pPr>
              <w:spacing w:line="320" w:lineRule="exact"/>
              <w:jc w:val="center"/>
              <w:rPr>
                <w:sz w:val="24"/>
              </w:rPr>
            </w:pPr>
          </w:p>
        </w:tc>
        <w:tc>
          <w:tcPr>
            <w:tcW w:w="1417" w:type="dxa"/>
            <w:shd w:val="clear" w:color="auto" w:fill="auto"/>
            <w:vAlign w:val="center"/>
          </w:tcPr>
          <w:p>
            <w:pPr>
              <w:spacing w:line="320" w:lineRule="exact"/>
              <w:jc w:val="center"/>
              <w:rPr>
                <w:sz w:val="24"/>
              </w:rPr>
            </w:pPr>
            <w:r>
              <w:rPr>
                <w:sz w:val="24"/>
              </w:rPr>
              <w:t>过程质量控制</w:t>
            </w:r>
          </w:p>
        </w:tc>
        <w:tc>
          <w:tcPr>
            <w:tcW w:w="9577" w:type="dxa"/>
            <w:shd w:val="clear" w:color="auto" w:fill="auto"/>
            <w:vAlign w:val="top"/>
          </w:tcPr>
          <w:p>
            <w:pPr>
              <w:spacing w:line="320" w:lineRule="exact"/>
              <w:rPr>
                <w:sz w:val="24"/>
              </w:rPr>
            </w:pPr>
            <w:r>
              <w:rPr>
                <w:sz w:val="24"/>
              </w:rPr>
              <w:t>重点检查涉及车载钢罐体和车载铝罐体产品的原材料进货、过程加工、出厂检验等文件是否齐全，对采购、生产、检验等环节中发现的不合格品，是否采取标识、隔离、处置等措施；对关键采购件在入库前是否进行验收并做好记录，如板材的壁厚测定，安全阀、呼吸阀、紧急切断阀、紧急泄放装置等的性能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2" w:type="dxa"/>
            <w:vMerge w:val="continue"/>
            <w:shd w:val="clear" w:color="auto" w:fill="auto"/>
            <w:vAlign w:val="top"/>
          </w:tcPr>
          <w:p>
            <w:pPr>
              <w:spacing w:line="320" w:lineRule="exact"/>
              <w:jc w:val="center"/>
              <w:rPr>
                <w:sz w:val="24"/>
              </w:rPr>
            </w:pPr>
          </w:p>
        </w:tc>
        <w:tc>
          <w:tcPr>
            <w:tcW w:w="1418" w:type="dxa"/>
            <w:vMerge w:val="continue"/>
            <w:shd w:val="clear" w:color="auto" w:fill="auto"/>
            <w:vAlign w:val="center"/>
          </w:tcPr>
          <w:p>
            <w:pPr>
              <w:spacing w:line="320" w:lineRule="exact"/>
              <w:jc w:val="center"/>
              <w:rPr>
                <w:sz w:val="24"/>
              </w:rPr>
            </w:pPr>
          </w:p>
        </w:tc>
        <w:tc>
          <w:tcPr>
            <w:tcW w:w="1417" w:type="dxa"/>
            <w:shd w:val="clear" w:color="auto" w:fill="auto"/>
            <w:vAlign w:val="center"/>
          </w:tcPr>
          <w:p>
            <w:pPr>
              <w:spacing w:line="320" w:lineRule="exact"/>
              <w:jc w:val="center"/>
              <w:rPr>
                <w:sz w:val="24"/>
              </w:rPr>
            </w:pPr>
            <w:r>
              <w:rPr>
                <w:sz w:val="24"/>
              </w:rPr>
              <w:t>检验质量控制</w:t>
            </w:r>
          </w:p>
        </w:tc>
        <w:tc>
          <w:tcPr>
            <w:tcW w:w="9577" w:type="dxa"/>
            <w:shd w:val="clear" w:color="auto" w:fill="auto"/>
            <w:vAlign w:val="top"/>
          </w:tcPr>
          <w:p>
            <w:pPr>
              <w:spacing w:line="320" w:lineRule="exact"/>
              <w:rPr>
                <w:sz w:val="24"/>
              </w:rPr>
            </w:pPr>
            <w:r>
              <w:rPr>
                <w:sz w:val="24"/>
              </w:rPr>
              <w:t>重点检查企业是否按GB18564.1-2019的要求，逐台对车载钢罐体和车载铝罐体产品进行出厂检查并出具报告，主要查出厂检查的记录与报告中的检验项目是否均齐全，两者的内容与结论是否相关联并符合标准的要求；无损检测的项目与比例是否符合GB18564.1-2019及设计图纸的要求，现场保存的射线检测底片与射线检测报告中的信息（如数量等）是否相符；企业的出厂文件是否齐全，质量证明书是否包含外观与几何尺寸检查报告、材料质量证明书、无损检测报告、耐压试验报告、气密性试验报告等内容。检查现场实物与出厂检查报告、出厂检验报告在产品质量与相关信息等方面是否相符（现场抽查罐体的数量不小于1台）。抽查最近出厂的车载钢罐体和车载铝罐体产品的检查报告至少2份。</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662FB"/>
    <w:rsid w:val="255D1F65"/>
    <w:rsid w:val="68466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简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2020-06-28T09:21:00Z</dcterms:created>
  <dc:creator>admin</dc:creator>
  <cp:lastModifiedBy>admin</cp:lastModifiedBy>
  <dcterms:modified xsi:type="dcterms:W3CDTF">2020-06-28T09:26:32Z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