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hint="eastAsia" w:ascii="Times New Roman" w:hAnsi="Times New Roman" w:eastAsia="方正小标宋简体" w:cs="方正仿宋简体"/>
          <w:color w:val="000000"/>
          <w:sz w:val="32"/>
          <w:szCs w:val="32"/>
          <w:lang w:eastAsia="zh-CN"/>
        </w:rPr>
        <w:t>产品质量</w:t>
      </w:r>
      <w:r>
        <w:rPr>
          <w:rFonts w:hint="eastAsia" w:ascii="Times New Roman" w:hAnsi="Times New Roman" w:eastAsia="方正小标宋简体" w:cs="方正仿宋简体"/>
          <w:color w:val="000000"/>
          <w:sz w:val="32"/>
          <w:szCs w:val="32"/>
        </w:rPr>
        <w:t>监督抽查实施细则</w:t>
      </w:r>
    </w:p>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lang w:eastAsia="zh-CN"/>
        </w:rPr>
        <w:t>建筑用钢筋</w:t>
      </w:r>
    </w:p>
    <w:p>
      <w:pPr>
        <w:snapToGrid w:val="0"/>
        <w:spacing w:line="440" w:lineRule="exact"/>
        <w:rPr>
          <w:rFonts w:eastAsia="黑体"/>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adjustRightInd w:val="0"/>
        <w:snapToGrid w:val="0"/>
        <w:spacing w:line="440" w:lineRule="exact"/>
        <w:ind w:firstLine="420" w:firstLineChars="200"/>
        <w:rPr>
          <w:rFonts w:hint="eastAsia"/>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rFonts w:hint="eastAsia"/>
          <w:color w:val="000000"/>
          <w:szCs w:val="21"/>
        </w:rPr>
      </w:pPr>
      <w:r>
        <w:rPr>
          <w:rFonts w:hint="eastAsia"/>
          <w:color w:val="000000"/>
          <w:szCs w:val="21"/>
        </w:rPr>
        <w:t>随机数一般可使用随机数表等方法产生。</w:t>
      </w:r>
    </w:p>
    <w:p>
      <w:pPr>
        <w:snapToGrid w:val="0"/>
        <w:spacing w:line="440" w:lineRule="exact"/>
        <w:ind w:firstLine="420" w:firstLineChars="200"/>
        <w:rPr>
          <w:color w:val="000000"/>
          <w:szCs w:val="21"/>
        </w:rPr>
      </w:pPr>
      <w:r>
        <w:rPr>
          <w:rFonts w:hint="eastAsia"/>
          <w:color w:val="000000"/>
          <w:szCs w:val="21"/>
        </w:rPr>
        <w:t>对直条钢筋取样时，在同一批次（同一牌号、同一规格）的产品中抽取1捆，在该捆中抽取5根钢筋，每根钢筋截取的长度为2400mm（d≥28mm的钢筋取样长度为3400mm），逐根顺序编号为1～5，再把每根钢筋分成2支长度为1200mm的样品（d≥28mm的每根钢筋分成2支长度为1700mm的样品），2支样品逐支编号标记，并一一对应（如1-a，1-b），每支样品要保证有完整的表面标志，标记a的5支样品为检验样品，标记b的5支样品为备用样品。</w:t>
      </w:r>
    </w:p>
    <w:p>
      <w:pPr>
        <w:adjustRightInd w:val="0"/>
        <w:snapToGrid w:val="0"/>
        <w:spacing w:line="440" w:lineRule="exact"/>
        <w:ind w:firstLine="420" w:firstLineChars="200"/>
        <w:rPr>
          <w:rFonts w:hint="eastAsia"/>
          <w:color w:val="000000"/>
          <w:szCs w:val="21"/>
        </w:rPr>
      </w:pPr>
      <w:r>
        <w:rPr>
          <w:rFonts w:hint="eastAsia"/>
          <w:color w:val="000000"/>
          <w:szCs w:val="21"/>
        </w:rPr>
        <w:t>对盘卷钢筋取样时，在同一批次（同一牌号、同一规格）的产品中抽取5盘产品，在每盘钢筋上距头或尾至少2000mm处，随机截取1根长度为2400mm的钢筋，逐根顺序编号为1～5，再把每根钢筋分成2支长度为1200mm的样品，2支样品逐支编号标记，并一一对应（如1-a，1-b），每支样品要保证有完整的表面标志。标记a的5支样品为检验样品，标记b的5支样品为备用样品。</w:t>
      </w:r>
    </w:p>
    <w:p>
      <w:pPr>
        <w:snapToGrid w:val="0"/>
        <w:spacing w:line="440" w:lineRule="exact"/>
        <w:ind w:firstLine="420" w:firstLineChars="200"/>
        <w:rPr>
          <w:rFonts w:hint="eastAsia" w:ascii="宋体" w:hAnsi="宋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pPr>
      <w:r>
        <w:rPr>
          <w:rFonts w:hint="eastAsia" w:ascii="宋体" w:hAnsi="宋体"/>
          <w:color w:val="000000"/>
          <w:szCs w:val="21"/>
        </w:rPr>
        <w:t>表</w:t>
      </w:r>
      <w:r>
        <w:rPr>
          <w:rFonts w:hint="eastAsia" w:ascii="宋体" w:hAnsi="宋体"/>
          <w:color w:val="000000"/>
          <w:szCs w:val="21"/>
          <w:lang w:val="en-US" w:eastAsia="zh-CN"/>
        </w:rPr>
        <w:t xml:space="preserve">1 </w:t>
      </w:r>
      <w:r>
        <w:t>冷轧</w:t>
      </w:r>
      <w:r>
        <w:rPr>
          <w:spacing w:val="-5"/>
        </w:rPr>
        <w:t>带</w:t>
      </w:r>
      <w:r>
        <w:t>肋钢筋</w:t>
      </w:r>
    </w:p>
    <w:tbl>
      <w:tblPr>
        <w:tblStyle w:val="4"/>
        <w:tblW w:w="91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2449"/>
        <w:gridCol w:w="2802"/>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noWrap w:val="0"/>
            <w:vAlign w:val="center"/>
          </w:tcPr>
          <w:p>
            <w:pPr>
              <w:adjustRightInd w:val="0"/>
              <w:snapToGrid w:val="0"/>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序号</w:t>
            </w:r>
          </w:p>
        </w:tc>
        <w:tc>
          <w:tcPr>
            <w:tcW w:w="5251" w:type="dxa"/>
            <w:gridSpan w:val="2"/>
            <w:noWrap w:val="0"/>
            <w:vAlign w:val="center"/>
          </w:tcPr>
          <w:p>
            <w:pPr>
              <w:adjustRightInd w:val="0"/>
              <w:snapToGrid w:val="0"/>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检验项目</w:t>
            </w:r>
          </w:p>
        </w:tc>
        <w:tc>
          <w:tcPr>
            <w:tcW w:w="2796" w:type="dxa"/>
            <w:noWrap w:val="0"/>
            <w:vAlign w:val="center"/>
          </w:tcPr>
          <w:p>
            <w:pPr>
              <w:adjustRightInd w:val="0"/>
              <w:snapToGrid w:val="0"/>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p>
            <w:pPr>
              <w:pStyle w:val="2"/>
              <w:adjustRightInd w:val="0"/>
              <w:snapToGrid w:val="0"/>
              <w:jc w:val="center"/>
              <w:rPr>
                <w:rFonts w:hint="eastAsia" w:ascii="Times New Roman" w:hAnsi="Times New Roman" w:eastAsia="宋体" w:cs="宋体"/>
                <w:bCs/>
                <w:kern w:val="2"/>
                <w:sz w:val="21"/>
                <w:szCs w:val="21"/>
                <w:lang w:val="en-US" w:eastAsia="zh-CN"/>
              </w:rPr>
            </w:pPr>
          </w:p>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449"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802"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规定塑性延伸强度</w:t>
            </w:r>
          </w:p>
        </w:tc>
        <w:tc>
          <w:tcPr>
            <w:tcW w:w="2796"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802"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79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802" w:type="dxa"/>
            <w:noWrap w:val="0"/>
            <w:vAlign w:val="center"/>
          </w:tcPr>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m</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p0.2</w:t>
            </w:r>
          </w:p>
        </w:tc>
        <w:tc>
          <w:tcPr>
            <w:tcW w:w="279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802"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79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802"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79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449"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802"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弯曲试验</w:t>
            </w:r>
          </w:p>
        </w:tc>
        <w:tc>
          <w:tcPr>
            <w:tcW w:w="279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449"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802"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横肋中点高</w:t>
            </w:r>
          </w:p>
        </w:tc>
        <w:tc>
          <w:tcPr>
            <w:tcW w:w="2796"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13788-2017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802"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肋间距</w:t>
            </w:r>
          </w:p>
        </w:tc>
        <w:tc>
          <w:tcPr>
            <w:tcW w:w="279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5251" w:type="dxa"/>
            <w:gridSpan w:val="2"/>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79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25" w:type="dxa"/>
            <w:noWrap w:val="0"/>
            <w:vAlign w:val="center"/>
          </w:tcPr>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51" w:type="dxa"/>
            <w:gridSpan w:val="2"/>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表面标志</w:t>
            </w:r>
          </w:p>
        </w:tc>
        <w:tc>
          <w:tcPr>
            <w:tcW w:w="279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bl>
    <w:p>
      <w:pPr>
        <w:snapToGrid w:val="0"/>
        <w:spacing w:line="440" w:lineRule="exact"/>
        <w:jc w:val="both"/>
        <w:rPr>
          <w:rFonts w:hint="eastAsia" w:asciiTheme="minorEastAsia" w:hAnsiTheme="minorEastAsia" w:eastAsiaTheme="minorEastAsia" w:cstheme="minorEastAsia"/>
          <w:color w:val="000000"/>
          <w:szCs w:val="21"/>
        </w:rPr>
      </w:pPr>
    </w:p>
    <w:p>
      <w:pPr>
        <w:snapToGrid w:val="0"/>
        <w:spacing w:line="44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表</w:t>
      </w:r>
      <w:r>
        <w:rPr>
          <w:rFonts w:hint="eastAsia" w:asciiTheme="minorEastAsia" w:hAnsiTheme="minorEastAsia" w:cstheme="minorEastAsia"/>
          <w:color w:val="000000"/>
          <w:szCs w:val="21"/>
          <w:lang w:val="en-US" w:eastAsia="zh-CN"/>
        </w:rPr>
        <w:t>2</w:t>
      </w:r>
      <w:r>
        <w:rPr>
          <w:rFonts w:hint="eastAsia" w:asciiTheme="minorEastAsia" w:hAnsiTheme="minorEastAsia" w:eastAsiaTheme="minorEastAsia" w:cstheme="minorEastAsia"/>
          <w:color w:val="000000"/>
          <w:szCs w:val="21"/>
          <w:lang w:val="en-US" w:eastAsia="zh-CN"/>
        </w:rPr>
        <w:t xml:space="preserve"> 热轧光圆钢筋</w:t>
      </w:r>
    </w:p>
    <w:tbl>
      <w:tblPr>
        <w:tblStyle w:val="4"/>
        <w:tblW w:w="91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
        <w:gridCol w:w="1074"/>
        <w:gridCol w:w="2536"/>
        <w:gridCol w:w="2684"/>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76" w:type="dxa"/>
            <w:gridSpan w:val="2"/>
            <w:noWrap w:val="0"/>
            <w:vAlign w:val="center"/>
          </w:tcPr>
          <w:p>
            <w:pPr>
              <w:adjustRightInd w:val="0"/>
              <w:snapToGrid w:val="0"/>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序号</w:t>
            </w:r>
          </w:p>
        </w:tc>
        <w:tc>
          <w:tcPr>
            <w:tcW w:w="5220" w:type="dxa"/>
            <w:gridSpan w:val="2"/>
            <w:noWrap w:val="0"/>
            <w:vAlign w:val="center"/>
          </w:tcPr>
          <w:p>
            <w:pPr>
              <w:adjustRightInd w:val="0"/>
              <w:snapToGrid w:val="0"/>
              <w:spacing w:line="44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2872" w:type="dxa"/>
            <w:noWrap w:val="0"/>
            <w:vAlign w:val="center"/>
          </w:tcPr>
          <w:p>
            <w:pPr>
              <w:adjustRightInd w:val="0"/>
              <w:snapToGrid w:val="0"/>
              <w:spacing w:line="44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tc>
        <w:tc>
          <w:tcPr>
            <w:tcW w:w="2536"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下屈服强度</w:t>
            </w:r>
          </w:p>
        </w:tc>
        <w:tc>
          <w:tcPr>
            <w:tcW w:w="2872" w:type="dxa"/>
            <w:vMerge w:val="restart"/>
            <w:noWrap w:val="0"/>
            <w:vAlign w:val="center"/>
          </w:tcPr>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536"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冷弯试验</w:t>
            </w:r>
          </w:p>
        </w:tc>
        <w:tc>
          <w:tcPr>
            <w:tcW w:w="2872" w:type="dxa"/>
            <w:vMerge w:val="continue"/>
            <w:noWrap w:val="0"/>
            <w:vAlign w:val="center"/>
          </w:tcPr>
          <w:p>
            <w:pPr>
              <w:pStyle w:val="2"/>
              <w:adjustRightInd w:val="0"/>
              <w:snapToGrid w:val="0"/>
              <w:jc w:val="center"/>
              <w:rPr>
                <w:rFonts w:hint="default"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536"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化学成分</w:t>
            </w: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w:t>
            </w:r>
          </w:p>
        </w:tc>
        <w:tc>
          <w:tcPr>
            <w:tcW w:w="2872"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4336-2016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Si</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Mn</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P</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2536"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直径允许偏差</w:t>
            </w:r>
          </w:p>
        </w:tc>
        <w:tc>
          <w:tcPr>
            <w:tcW w:w="2872"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84" w:type="dxa"/>
            <w:noWrap w:val="0"/>
            <w:vAlign w:val="center"/>
          </w:tcPr>
          <w:p>
            <w:pPr>
              <w:pStyle w:val="2"/>
              <w:adjustRightInd w:val="0"/>
              <w:snapToGrid w:val="0"/>
              <w:spacing w:line="240" w:lineRule="auto"/>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不圆度</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2" w:type="dxa"/>
          <w:trHeight w:val="482" w:hRule="atLeast"/>
          <w:jc w:val="center"/>
        </w:trPr>
        <w:tc>
          <w:tcPr>
            <w:tcW w:w="107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20" w:type="dxa"/>
            <w:gridSpan w:val="2"/>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872"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bl>
    <w:p/>
    <w:p>
      <w:pPr>
        <w:snapToGrid w:val="0"/>
        <w:spacing w:line="440" w:lineRule="exact"/>
        <w:jc w:val="center"/>
        <w:rPr>
          <w:rFonts w:hint="eastAsia" w:ascii="宋体" w:hAnsi="宋体" w:eastAsia="宋体" w:cs="宋体"/>
          <w:color w:val="000000"/>
          <w:szCs w:val="21"/>
          <w:lang w:val="en-US" w:eastAsia="zh-CN"/>
        </w:rPr>
      </w:pPr>
      <w:r>
        <w:rPr>
          <w:rFonts w:hint="eastAsia" w:ascii="宋体" w:hAnsi="宋体" w:eastAsia="宋体" w:cs="宋体"/>
          <w:color w:val="000000"/>
          <w:szCs w:val="21"/>
        </w:rPr>
        <w:t>表</w:t>
      </w:r>
      <w:r>
        <w:rPr>
          <w:rFonts w:hint="eastAsia" w:ascii="宋体" w:hAnsi="宋体" w:eastAsia="宋体" w:cs="宋体"/>
          <w:color w:val="000000"/>
          <w:szCs w:val="21"/>
          <w:lang w:val="en-US" w:eastAsia="zh-CN"/>
        </w:rPr>
        <w:t>3</w:t>
      </w:r>
      <w:bookmarkStart w:id="1" w:name="_GoBack"/>
      <w:bookmarkEnd w:id="1"/>
      <w:r>
        <w:rPr>
          <w:rFonts w:hint="eastAsia" w:ascii="宋体" w:hAnsi="宋体" w:eastAsia="宋体" w:cs="宋体"/>
          <w:color w:val="000000"/>
          <w:szCs w:val="21"/>
          <w:lang w:val="en-US" w:eastAsia="zh-CN"/>
        </w:rPr>
        <w:t xml:space="preserve"> 热轧带肋钢筋</w:t>
      </w:r>
    </w:p>
    <w:tbl>
      <w:tblPr>
        <w:tblStyle w:val="4"/>
        <w:tblW w:w="9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2"/>
        <w:gridCol w:w="2536"/>
        <w:gridCol w:w="2694"/>
        <w:gridCol w:w="2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noWrap w:val="0"/>
            <w:vAlign w:val="center"/>
          </w:tcPr>
          <w:p>
            <w:pPr>
              <w:adjustRightInd w:val="0"/>
              <w:snapToGrid w:val="0"/>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序号</w:t>
            </w:r>
          </w:p>
        </w:tc>
        <w:tc>
          <w:tcPr>
            <w:tcW w:w="5232" w:type="dxa"/>
            <w:gridSpan w:val="3"/>
            <w:noWrap w:val="0"/>
            <w:vAlign w:val="center"/>
          </w:tcPr>
          <w:p>
            <w:pPr>
              <w:adjustRightInd w:val="0"/>
              <w:snapToGrid w:val="0"/>
              <w:spacing w:line="44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2867" w:type="dxa"/>
            <w:noWrap w:val="0"/>
            <w:vAlign w:val="center"/>
          </w:tcPr>
          <w:p>
            <w:pPr>
              <w:adjustRightInd w:val="0"/>
              <w:snapToGrid w:val="0"/>
              <w:spacing w:line="44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p>
            <w:pPr>
              <w:pStyle w:val="2"/>
              <w:adjustRightInd w:val="0"/>
              <w:snapToGrid w:val="0"/>
              <w:jc w:val="center"/>
              <w:rPr>
                <w:rFonts w:hint="eastAsia" w:ascii="Times New Roman" w:hAnsi="Times New Roman" w:eastAsia="宋体" w:cs="宋体"/>
                <w:bCs/>
                <w:kern w:val="2"/>
                <w:sz w:val="21"/>
                <w:szCs w:val="21"/>
                <w:lang w:val="en-US" w:eastAsia="zh-CN"/>
              </w:rPr>
            </w:pPr>
          </w:p>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下屈服强度</w:t>
            </w:r>
          </w:p>
        </w:tc>
        <w:tc>
          <w:tcPr>
            <w:tcW w:w="2867"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实测抗拉强度与实测屈服强度之比*</w:t>
            </w:r>
          </w:p>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m</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eL</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实测屈服强度与屈服强度特征值之比*</w:t>
            </w:r>
          </w:p>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eL</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eL</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538" w:type="dxa"/>
            <w:gridSpan w:val="2"/>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弯曲性能</w:t>
            </w:r>
          </w:p>
        </w:tc>
        <w:tc>
          <w:tcPr>
            <w:tcW w:w="2867"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反向弯曲性能*</w:t>
            </w:r>
          </w:p>
        </w:tc>
        <w:tc>
          <w:tcPr>
            <w:tcW w:w="2867"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538" w:type="dxa"/>
            <w:gridSpan w:val="2"/>
            <w:vMerge w:val="restart"/>
            <w:noWrap w:val="0"/>
            <w:vAlign w:val="center"/>
          </w:tcPr>
          <w:p>
            <w:pPr>
              <w:pStyle w:val="2"/>
              <w:adjustRightInd w:val="0"/>
              <w:snapToGrid w:val="0"/>
              <w:ind w:firstLine="840" w:firstLineChars="400"/>
              <w:jc w:val="both"/>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化学成分</w:t>
            </w: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w:t>
            </w:r>
          </w:p>
        </w:tc>
        <w:tc>
          <w:tcPr>
            <w:tcW w:w="2867"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4336-2016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Si</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Mn</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P</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070"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default"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Ceq</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70" w:type="dxa"/>
            <w:gridSpan w:val="2"/>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2536"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横肋高</w:t>
            </w:r>
          </w:p>
        </w:tc>
        <w:tc>
          <w:tcPr>
            <w:tcW w:w="2867" w:type="dxa"/>
            <w:vMerge w:val="restart"/>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间距</w:t>
            </w:r>
          </w:p>
        </w:tc>
        <w:tc>
          <w:tcPr>
            <w:tcW w:w="2867"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jc w:val="center"/>
              <w:rPr>
                <w:rFonts w:hint="eastAsia" w:ascii="Times New Roman" w:hAnsi="Times New Roman" w:eastAsia="宋体" w:cs="宋体"/>
                <w:bCs/>
                <w:kern w:val="2"/>
                <w:sz w:val="21"/>
                <w:szCs w:val="21"/>
                <w:lang w:val="en-US" w:eastAsia="zh-CN"/>
              </w:rPr>
            </w:pPr>
            <w:r>
              <w:rPr>
                <w:rFonts w:eastAsiaTheme="minorEastAsia"/>
                <w:szCs w:val="21"/>
              </w:rPr>
              <w:t>横肋末端间隙</w:t>
            </w:r>
          </w:p>
        </w:tc>
        <w:tc>
          <w:tcPr>
            <w:tcW w:w="2867" w:type="dxa"/>
            <w:vMerge w:val="continue"/>
            <w:noWrap w:val="0"/>
            <w:vAlign w:val="center"/>
          </w:tcPr>
          <w:p>
            <w:pPr>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p>
        </w:tc>
        <w:tc>
          <w:tcPr>
            <w:tcW w:w="2694" w:type="dxa"/>
            <w:noWrap w:val="0"/>
            <w:vAlign w:val="center"/>
          </w:tcPr>
          <w:p>
            <w:pPr>
              <w:jc w:val="center"/>
              <w:rPr>
                <w:rFonts w:hint="eastAsia" w:ascii="Times New Roman" w:hAnsi="Times New Roman" w:eastAsia="宋体" w:cs="宋体"/>
                <w:bCs/>
                <w:kern w:val="2"/>
                <w:sz w:val="21"/>
                <w:szCs w:val="21"/>
                <w:lang w:val="en-US" w:eastAsia="zh-CN"/>
              </w:rPr>
            </w:pPr>
            <w:r>
              <w:rPr>
                <w:rFonts w:eastAsiaTheme="minorEastAsia"/>
                <w:szCs w:val="21"/>
              </w:rPr>
              <w:t>每米弯曲度</w:t>
            </w:r>
          </w:p>
        </w:tc>
        <w:tc>
          <w:tcPr>
            <w:tcW w:w="2867" w:type="dxa"/>
            <w:vMerge w:val="continue"/>
            <w:noWrap w:val="0"/>
            <w:vAlign w:val="center"/>
          </w:tcPr>
          <w:p>
            <w:pPr>
              <w:jc w:val="center"/>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70" w:type="dxa"/>
            <w:gridSpan w:val="2"/>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30" w:type="dxa"/>
            <w:gridSpan w:val="2"/>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867"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jc w:val="center"/>
        </w:trPr>
        <w:tc>
          <w:tcPr>
            <w:tcW w:w="1070" w:type="dxa"/>
            <w:gridSpan w:val="2"/>
            <w:noWrap w:val="0"/>
            <w:vAlign w:val="center"/>
          </w:tcPr>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6</w:t>
            </w:r>
          </w:p>
        </w:tc>
        <w:tc>
          <w:tcPr>
            <w:tcW w:w="5230" w:type="dxa"/>
            <w:gridSpan w:val="2"/>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金相组织</w:t>
            </w:r>
          </w:p>
        </w:tc>
        <w:tc>
          <w:tcPr>
            <w:tcW w:w="2867"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13298-2015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1070" w:type="dxa"/>
            <w:gridSpan w:val="2"/>
            <w:noWrap w:val="0"/>
            <w:vAlign w:val="center"/>
          </w:tcPr>
          <w:p>
            <w:pPr>
              <w:pStyle w:val="2"/>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7</w:t>
            </w:r>
          </w:p>
        </w:tc>
        <w:tc>
          <w:tcPr>
            <w:tcW w:w="5230" w:type="dxa"/>
            <w:gridSpan w:val="2"/>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表面标志</w:t>
            </w:r>
          </w:p>
        </w:tc>
        <w:tc>
          <w:tcPr>
            <w:tcW w:w="2867" w:type="dxa"/>
            <w:noWrap w:val="0"/>
            <w:vAlign w:val="center"/>
          </w:tcPr>
          <w:p>
            <w:pPr>
              <w:pStyle w:val="2"/>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jc w:val="center"/>
        </w:trPr>
        <w:tc>
          <w:tcPr>
            <w:tcW w:w="9167" w:type="dxa"/>
            <w:gridSpan w:val="5"/>
            <w:noWrap w:val="0"/>
            <w:vAlign w:val="center"/>
          </w:tcPr>
          <w:p>
            <w:pPr>
              <w:pStyle w:val="2"/>
              <w:adjustRightInd w:val="0"/>
              <w:snapToGrid w:val="0"/>
              <w:ind w:left="420" w:hanging="420" w:hangingChars="200"/>
              <w:jc w:val="left"/>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*：最大力总延伸率、实测抗拉强度与实测屈服强度之比、实测屈服强度与屈服强度特征值之比、</w:t>
            </w:r>
          </w:p>
          <w:p>
            <w:pPr>
              <w:pStyle w:val="2"/>
              <w:adjustRightInd w:val="0"/>
              <w:snapToGrid w:val="0"/>
              <w:ind w:left="420" w:leftChars="200" w:firstLine="0" w:firstLineChars="0"/>
              <w:jc w:val="left"/>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反向弯曲性能检验适用于抗震钢筋，抗震钢筋不检断后伸长率、弯曲性能。</w:t>
            </w:r>
          </w:p>
        </w:tc>
      </w:tr>
    </w:tbl>
    <w:p>
      <w:pPr>
        <w:adjustRightInd w:val="0"/>
        <w:snapToGrid w:val="0"/>
        <w:spacing w:line="440" w:lineRule="exact"/>
        <w:ind w:firstLine="420" w:firstLineChars="200"/>
        <w:rPr>
          <w:rFonts w:hint="eastAsia"/>
          <w:color w:val="000000"/>
          <w:szCs w:val="21"/>
        </w:rPr>
      </w:pPr>
      <w:bookmarkStart w:id="0" w:name="_Hlk28257335"/>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/T</w:t>
      </w:r>
      <w:r>
        <w:rPr>
          <w:rFonts w:hint="eastAsia" w:ascii="Times New Roman" w:hAnsi="Times New Roman" w:eastAsia="宋体" w:cs="Times New Roman"/>
          <w:color w:val="000000"/>
          <w:szCs w:val="21"/>
          <w:lang w:val="en-US" w:eastAsia="en-US"/>
        </w:rPr>
        <w:t xml:space="preserve"> 13788</w:t>
      </w:r>
      <w:r>
        <w:rPr>
          <w:rFonts w:hint="eastAsia" w:ascii="Times New Roman" w:hAnsi="Times New Roman" w:eastAsia="宋体" w:cs="Times New Roman"/>
          <w:color w:val="000000"/>
          <w:szCs w:val="21"/>
          <w:lang w:val="en-US" w:eastAsia="zh-CN"/>
        </w:rPr>
        <w:t xml:space="preserve">-2017  </w:t>
      </w:r>
      <w:r>
        <w:rPr>
          <w:rFonts w:hint="eastAsia" w:ascii="Times New Roman" w:hAnsi="Times New Roman" w:eastAsia="宋体" w:cs="Times New Roman"/>
          <w:color w:val="000000"/>
          <w:szCs w:val="21"/>
          <w:lang w:val="en-US" w:eastAsia="en-US"/>
        </w:rPr>
        <w:t>冷轧带肋钢筋</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 xml:space="preserve">/T </w:t>
      </w:r>
      <w:r>
        <w:rPr>
          <w:rFonts w:hint="eastAsia" w:ascii="Times New Roman" w:hAnsi="Times New Roman" w:eastAsia="宋体" w:cs="Times New Roman"/>
          <w:color w:val="000000"/>
          <w:szCs w:val="21"/>
          <w:lang w:val="en-US" w:eastAsia="en-US"/>
        </w:rPr>
        <w:t>1499.</w:t>
      </w:r>
      <w:r>
        <w:rPr>
          <w:rFonts w:hint="eastAsia" w:ascii="Times New Roman" w:hAnsi="Times New Roman" w:eastAsia="宋体" w:cs="Times New Roman"/>
          <w:color w:val="000000"/>
          <w:szCs w:val="21"/>
          <w:lang w:val="en-US" w:eastAsia="zh-CN"/>
        </w:rPr>
        <w:t xml:space="preserve">1-2017  </w:t>
      </w:r>
      <w:r>
        <w:rPr>
          <w:rFonts w:hint="eastAsia" w:ascii="Times New Roman" w:hAnsi="Times New Roman" w:eastAsia="宋体" w:cs="Times New Roman"/>
          <w:color w:val="000000"/>
          <w:szCs w:val="21"/>
          <w:lang w:val="en-US" w:eastAsia="en-US"/>
        </w:rPr>
        <w:t>钢筋混凝土用钢 第</w:t>
      </w:r>
      <w:r>
        <w:rPr>
          <w:rFonts w:hint="eastAsia" w:ascii="Times New Roman" w:hAnsi="Times New Roman" w:eastAsia="宋体" w:cs="Times New Roman"/>
          <w:color w:val="000000"/>
          <w:szCs w:val="21"/>
          <w:lang w:val="en-US" w:eastAsia="zh-CN"/>
        </w:rPr>
        <w:t>1</w:t>
      </w:r>
      <w:r>
        <w:rPr>
          <w:rFonts w:hint="eastAsia" w:ascii="Times New Roman" w:hAnsi="Times New Roman" w:eastAsia="宋体" w:cs="Times New Roman"/>
          <w:color w:val="000000"/>
          <w:szCs w:val="21"/>
          <w:lang w:val="en-US" w:eastAsia="en-US"/>
        </w:rPr>
        <w:t>部分：热轧</w:t>
      </w:r>
      <w:r>
        <w:rPr>
          <w:rFonts w:hint="eastAsia" w:ascii="Times New Roman" w:hAnsi="Times New Roman" w:eastAsia="宋体" w:cs="Times New Roman"/>
          <w:color w:val="000000"/>
          <w:szCs w:val="21"/>
          <w:lang w:val="en-US" w:eastAsia="zh-CN"/>
        </w:rPr>
        <w:t>光圆</w:t>
      </w:r>
      <w:r>
        <w:rPr>
          <w:rFonts w:hint="eastAsia" w:ascii="Times New Roman" w:hAnsi="Times New Roman" w:eastAsia="宋体" w:cs="Times New Roman"/>
          <w:color w:val="000000"/>
          <w:szCs w:val="21"/>
          <w:lang w:val="en-US" w:eastAsia="en-US"/>
        </w:rPr>
        <w:t>钢筋</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 xml:space="preserve">/T </w:t>
      </w:r>
      <w:r>
        <w:rPr>
          <w:rFonts w:hint="eastAsia" w:ascii="Times New Roman" w:hAnsi="Times New Roman" w:eastAsia="宋体" w:cs="Times New Roman"/>
          <w:color w:val="000000"/>
          <w:szCs w:val="21"/>
          <w:lang w:val="en-US" w:eastAsia="en-US"/>
        </w:rPr>
        <w:t>1499.2</w:t>
      </w:r>
      <w:r>
        <w:rPr>
          <w:rFonts w:hint="eastAsia" w:ascii="Times New Roman" w:hAnsi="Times New Roman" w:eastAsia="宋体" w:cs="Times New Roman"/>
          <w:color w:val="000000"/>
          <w:szCs w:val="21"/>
          <w:lang w:val="en-US" w:eastAsia="zh-CN"/>
        </w:rPr>
        <w:t xml:space="preserve">-2018  </w:t>
      </w:r>
      <w:r>
        <w:rPr>
          <w:rFonts w:hint="eastAsia" w:ascii="Times New Roman" w:hAnsi="Times New Roman" w:eastAsia="宋体" w:cs="Times New Roman"/>
          <w:color w:val="000000"/>
          <w:szCs w:val="21"/>
          <w:lang w:val="en-US" w:eastAsia="en-US"/>
        </w:rPr>
        <w:t>钢筋混凝土用钢 第2部分：热轧带肋钢筋</w:t>
      </w:r>
    </w:p>
    <w:p>
      <w:pPr>
        <w:adjustRightInd w:val="0"/>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经检验，检验项目全部合格，判定为被抽查产品合格；检验项目中任一项或一项以上不合格，判定为被抽查产品不合格。</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C359E"/>
    <w:rsid w:val="0D9452DD"/>
    <w:rsid w:val="0E1277B4"/>
    <w:rsid w:val="0EAE6EA0"/>
    <w:rsid w:val="1C1067D3"/>
    <w:rsid w:val="20380C83"/>
    <w:rsid w:val="254906EB"/>
    <w:rsid w:val="36F4746E"/>
    <w:rsid w:val="382C359E"/>
    <w:rsid w:val="402227A9"/>
    <w:rsid w:val="56843502"/>
    <w:rsid w:val="6CA36463"/>
    <w:rsid w:val="6D610462"/>
    <w:rsid w:val="77964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kern w:val="0"/>
      <w:sz w:val="20"/>
      <w:szCs w:val="20"/>
    </w:rPr>
  </w:style>
  <w:style w:type="paragraph" w:customStyle="1" w:styleId="5">
    <w:name w:val="Table Paragraph"/>
    <w:basedOn w:val="1"/>
    <w:qFormat/>
    <w:uiPriority w:val="1"/>
    <w:rPr>
      <w:rFonts w:ascii="宋体" w:hAnsi="宋体" w:eastAsia="宋体" w:cs="宋体"/>
      <w:lang w:val="zh-CN" w:eastAsia="zh-CN" w:bidi="zh-CN"/>
    </w:rPr>
  </w:style>
  <w:style w:type="paragraph" w:customStyle="1" w:styleId="6">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7">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2020-06-02T15:40:00Z</dcterms:created>
  <dc:creator>青鸟</dc:creator>
  <cp:lastModifiedBy>Administrator</cp:lastModifiedBy>
  <dcterms:modified xsi:type="dcterms:W3CDTF">2020-06-11T02:49:47Z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