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574" w:lineRule="exact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附件5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  <w:t>涉及重点监管危险化工工艺、间歇和半间歇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  <w:t>反应的精细化工生产企业名单</w:t>
      </w:r>
      <w:bookmarkEnd w:id="0"/>
    </w:p>
    <w:p>
      <w:pPr>
        <w:pStyle w:val="2"/>
        <w:ind w:left="420"/>
        <w:rPr>
          <w:rFonts w:hint="eastAsia"/>
        </w:rPr>
      </w:pPr>
    </w:p>
    <w:tbl>
      <w:tblPr>
        <w:tblStyle w:val="6"/>
        <w:tblW w:w="863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753"/>
        <w:gridCol w:w="3930"/>
        <w:gridCol w:w="22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涉及危险化工工艺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临汾市尧都区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临汾市嘉纬化工有限公司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临汾市尧都区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山西三立化工有限公司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临汾市尧都区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山西临汾染化（集团）有限责任公司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硝化、氯化、重氮化工艺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临汾市襄汾县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襄汾县龙腾达化工有限公司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运城市新绛县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山西银昌化工有限责任公司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运城市新绛县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山西恒强化工有限公司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运城市临猗县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运城晋腾化学科技有限公司临猗分公司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加氢工艺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运城市临猗县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山西阳煤丰喜化工有限责任公司（D酸）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运城市芮城县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芮城县恒佳有机中间体有限公司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胺基化工艺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运城市芮城县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山西银莹顺化工有限公司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磺化工艺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运城市新绛县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新绛县德鑫化工有限公司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运城市盐湖区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山西三维丰海化工有限公司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运城市稷山县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山西普莱克化工有限公司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运城市河津市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河津市恒博建材科技有限公司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晋中市榆社县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晋中市华安生物科技有限公司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晋中市榆社县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山西榆社化工股份有限公司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晋中市太谷县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山西新和太明化工有限公司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晋中市昔阳县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阳煤集团昔阳化工有限责任公司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晋中市祁县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山西福诺欧新材料科技股份有限公司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裂解、聚合工艺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晋中市开发区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榆次长青胶粘剂有限公司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晋中市开发区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山西瑞辉科技有限公司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长治市潞城区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长治市霍家工业有限公司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长治市潞城区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长治市晋宁化工有限公司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氯化、加氢工艺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忻州市忻府区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山西侨友化工股份有限公司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氧化工艺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朔州市怀仁市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山西玉龙化工有限公司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胺基化工艺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6E6D"/>
    <w:rsid w:val="70BE6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2019-04-04T07:58:00Z</dcterms:created>
  <dc:creator>pc</dc:creator>
  <cp:lastModifiedBy>pc</cp:lastModifiedBy>
  <dcterms:modified xsi:type="dcterms:W3CDTF">2019-04-04T07:59:17Z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