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/>
          <w:bCs/>
          <w:i w:val="0"/>
          <w:iCs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吉林省农产品</w:t>
      </w:r>
      <w:r>
        <w:rPr>
          <w:rFonts w:hint="eastAsia" w:ascii="方正小标宋简体" w:hAnsi="宋体" w:eastAsia="方正小标宋简体" w:cs="宋体"/>
          <w:b/>
          <w:bCs/>
          <w:i w:val="0"/>
          <w:iCs w:val="0"/>
          <w:color w:val="000000" w:themeColor="text1"/>
          <w:spacing w:val="1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质量安全告知书</w:t>
      </w:r>
    </w:p>
    <w:p>
      <w:pPr>
        <w:widowControl/>
        <w:spacing w:line="600" w:lineRule="exact"/>
        <w:rPr>
          <w:rFonts w:hint="eastAsia" w:ascii="仿宋_GB2312" w:hAnsi="ˎ̥" w:eastAsia="仿宋_GB2312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全省广大农产品生产者朋友们：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吉林省是农业大省，广大农产品生产者勤劳智慧，一直以来，为人民群众的“菜篮子”、“米袋子”安全作出了突出贡献。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“民以食为天，食以安为先”，农产品质量安全是食品安全的最基础环节，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关系到国计民生，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每个人的身体健康和生命安全。生产安全放心的农产品，既是对社会负责，也是对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自己负责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。吉林省农业农村厅提醒全省农产品生产者朋友们，在农产品生产过程中要严把“六关”。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一、法律责任“关”。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农产品生产者是农产品质量安全的第一责任人，承担着农产品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质量安全的主体责任。生产经营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不合格农产品是违法行为。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按照《刑法》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（修正案八）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《农产品质量安全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、《食品安全法》及《农药管理条例》和《兽药管理条例》等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相应的法律法规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规定从事生产经营活动。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二、标准化生产“关”。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按照标准化生产方式从事农产品生产，是确保农产品质量安全的根本途径。在农产品生产过程中，要严格遵循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农产品质量安全相关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、行业和地方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遵守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农药安全间隔期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兽药休药期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和农产品生产记录档案等制度，有效规范生产经营行为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产地环境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“关”。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农产品产地环境状况直接关系到产出品的质量安全，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在生产过程中，要积极采取绿色防控等清洁生产和绿色生产方式，保护生态环境，防止产生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面源污染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在有毒有害物质超标区域生产、捕捞、采集食用农产品和建立生产基地。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四、过程管控“关”。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农业投入品是影响农产品质量安全的关键因素，生产过程中，要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选用正规厂家生产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及有资质的经营门店经营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农业投入品，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在农产品生产、贮藏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运输和销售中不使用国家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禁止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和限制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农药、兽药、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保鲜剂、防腐剂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添加剂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等农业投入品，严格按照标签说明使用农药和兽药。</w:t>
      </w:r>
    </w:p>
    <w:p>
      <w:pPr>
        <w:widowControl/>
        <w:shd w:val="clear" w:color="auto" w:fill="FFFFFF"/>
        <w:spacing w:line="360" w:lineRule="atLeast"/>
        <w:ind w:firstLine="562" w:firstLineChars="175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品牌价值“关”。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品牌决定价值，优质必然优价。广大农产品生产者应主动了解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农产品认证有关规定，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绿色、有机和地理标志农产品认证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，打造安全优质绿色农产品品牌，树立自身形象，提高产品价值，增加经济收益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tLeast"/>
        <w:ind w:firstLine="562" w:firstLineChars="175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“关”。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加强生产经营主体内部农产品质量安全管控，主动接受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农产品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质量安全监管监测，积极参与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质量安全追溯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管理和食用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农产品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合格证等信用管理，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积极推行鲜活农产品包装、挂标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、带证、赋码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上市，对存在质量安全问题的产品，主动召回销毁，依法承担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广大农产品生产者朋友们！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让我们以对国家、对社会也对自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高度负责的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态度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用自己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实实在在的行动，为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消费者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生产出更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丰富、安全、优质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、绿色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的农产品，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实现我们勤劳致富的美好愿望，也为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建设美好家园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建和谐社会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、实现乡村振兴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贡献自己的一份力量。</w:t>
      </w:r>
    </w:p>
    <w:p>
      <w:pPr>
        <w:widowControl/>
        <w:spacing w:line="600" w:lineRule="exact"/>
        <w:ind w:firstLine="5120" w:firstLineChars="1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40" w:lineRule="auto"/>
        <w:ind w:right="0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农业农村部最新发布的《国家禁限用农药名录》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（一）禁止（停止）使用的农药（46种）</w:t>
      </w:r>
    </w:p>
    <w:tbl>
      <w:tblPr>
        <w:tblStyle w:val="6"/>
        <w:tblW w:w="975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六六、滴滴涕、毒杀芬、二溴氯丙烷、杀虫脒、二溴乙烷、除草醚、艾氏剂、狄氏剂、汞制剂、砷类、铅类、敌枯双、氟乙酰胺、甘氟、毒鼠强、氟乙酸钠、毒鼠硅、甲胺磷、对硫磷、甲基对硫磷、久效磷、磷胺、苯线磷、地虫硫磷、甲基硫环磷、磷化钙、磷化镁、磷化锌、硫线磷、蝇毒磷、治螟磷、特丁硫磷、氯磺隆、胺苯磺隆、甲磺隆、福美胂、福美甲胂、三氯杀螨醇、林丹、硫丹、溴甲烷、氟虫胺、杀扑磷、百草枯、2,4-滴丁酯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注：氟虫胺自 2020 年 1 月 1 日起禁止使用。百草枯可溶胶剂自 2020 年 9 月 26 日起禁止使用。2,4-滴丁酯自 2023 年 1 月 29 日起禁止使用。溴甲烷可用于“检疫熏蒸处理”。杀扑磷已无制剂登记。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（二）在部分范围禁止使用的农药（20种）</w:t>
      </w:r>
    </w:p>
    <w:tbl>
      <w:tblPr>
        <w:tblStyle w:val="5"/>
        <w:tblW w:w="9750" w:type="dxa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5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通用名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禁止使用范围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甲拌磷、甲基异柳磷、克百威、水胺硫磷、氧乐果、灭多威、涕灭威、灭线磷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禁止在蔬菜、瓜果、茶叶、菌类、中草药材上使用，禁止用于防治卫生害虫，禁止用于水生植物的病虫害防治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甲拌磷、甲基异柳磷、克百威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禁止在甘蔗作物上使用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内吸磷、硫环磷、氯唑磷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禁止在蔬菜、瓜果、茶叶、中草药材上使用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乙酰甲胺磷、丁硫克百威、乐果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禁止在蔬菜、瓜果、茶叶、菌类和中草药材上使用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毒死蜱、三唑磷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禁止在蔬菜上使用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丁酰肼（比久）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禁止在花生上使用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氰戊菊酯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禁止在茶叶上使用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氟虫腈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禁止在所有农作物上使用（玉米等部分旱田种子包衣除外）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氟苯虫酰胺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禁止在水稻上使用</w:t>
            </w:r>
          </w:p>
        </w:tc>
      </w:tr>
    </w:tbl>
    <w:p>
      <w:pPr>
        <w:widowControl/>
        <w:spacing w:line="600" w:lineRule="exact"/>
        <w:jc w:val="both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农业农村部最新发布的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《食品动物中（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水产养殖中）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禁止使用的药品及其他化合物清单》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药物及其他化合物名称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酒石酸锑钾（Antimony potassium tartrate）</w:t>
            </w:r>
            <w:r>
              <w:rPr>
                <w:rStyle w:val="11"/>
                <w:rFonts w:eastAsia="微软雅黑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β-兴奋剂（β-agonists)类及其盐、酯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汞制剂：氯化亚汞（甘汞）（Calomel）、醋酸汞（Mercurous acetate）、硝酸亚汞（Mercurous nitrate）、吡啶基醋酸汞（Pyridyl mercurous acetate）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毒杀芬（氯化烯）（Camahechlor）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卡巴氧（Carbadox）及其盐、酯</w:t>
            </w:r>
            <w:r>
              <w:rPr>
                <w:rStyle w:val="11"/>
                <w:rFonts w:eastAsia="微软雅黑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呋喃丹（克百威）（Carbofuran）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氯霉素（Chloramphenicol）及其盐、酯</w:t>
            </w:r>
            <w:r>
              <w:rPr>
                <w:rStyle w:val="11"/>
                <w:rFonts w:eastAsia="微软雅黑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杀虫脒（克死螨）（Chlordimeform）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氨苯砜（Dapsone）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硝基呋喃类：呋喃西林（Furacilinum）、呋喃妥因（Furadantin）、呋喃它酮（Furaltadone）、呋喃唑酮（Furazolidone）、呋喃苯烯酸钠（Nifurstyrenate sodium）</w:t>
            </w:r>
            <w:r>
              <w:rPr>
                <w:rStyle w:val="11"/>
                <w:rFonts w:eastAsia="微软雅黑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林丹（Lindane）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孔雀石绿（Malachite green）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类固醇激素：醋酸美仑孕酮（Melengestrol Acetate）、甲基睾丸酮（Methyltestosterone）、群勃龙（去甲雄三烯醇酮）（Trenbolone）、玉米赤霉醇（Zeranal）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安眠酮（Methaqualone）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硝呋烯腙（Nitrovin）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五氯酚酸钠（Pentachlorophenol sodium）</w:t>
            </w:r>
            <w:r>
              <w:rPr>
                <w:rStyle w:val="11"/>
                <w:rFonts w:eastAsia="微软雅黑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硝基咪唑类：洛硝达唑（Ronidazole）、替硝唑（Tinidazole）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硝基酚钠（Sodium nitrophenolate）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己二烯雌酚（Dienoestrol）、己烯雌酚（Diethylstilbestrol）、己烷雌酚（Hexoestrol）及其盐、酯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锥虫砷胺（Tryparsamile）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万古霉素（Vancomycin）及其盐、酯 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bookmark8"/>
      <w:bookmarkStart w:id="1" w:name="bookmark6"/>
      <w:bookmarkStart w:id="2" w:name="bookmark7"/>
      <w:r>
        <w:rPr>
          <w:rFonts w:hint="eastAsia" w:ascii="宋体" w:hAnsi="宋体" w:eastAsia="宋体" w:cs="宋体"/>
          <w:b/>
          <w:bCs/>
          <w:color w:val="333333"/>
          <w:spacing w:val="0"/>
          <w:w w:val="100"/>
          <w:position w:val="0"/>
          <w:sz w:val="32"/>
          <w:szCs w:val="32"/>
        </w:rPr>
        <w:t>食品动物中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2"/>
          <w:szCs w:val="32"/>
        </w:rPr>
        <w:t>停止使用的兽药</w:t>
      </w:r>
      <w:bookmarkEnd w:id="0"/>
      <w:bookmarkEnd w:id="1"/>
      <w:bookmarkEnd w:id="2"/>
    </w:p>
    <w:tbl>
      <w:tblPr>
        <w:tblStyle w:val="5"/>
        <w:tblW w:w="980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6274"/>
        <w:gridCol w:w="21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2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名称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1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洛美沙星</w:t>
            </w:r>
            <w:r>
              <w:rPr>
                <w:spacing w:val="0"/>
                <w:w w:val="100"/>
                <w:position w:val="0"/>
              </w:rPr>
              <w:t>、培</w:t>
            </w:r>
            <w:r>
              <w:rPr>
                <w:b/>
                <w:bCs/>
                <w:spacing w:val="0"/>
                <w:w w:val="100"/>
                <w:position w:val="0"/>
              </w:rPr>
              <w:t>氟沙星</w:t>
            </w:r>
            <w:r>
              <w:rPr>
                <w:spacing w:val="0"/>
                <w:w w:val="100"/>
                <w:position w:val="0"/>
              </w:rPr>
              <w:t>、氧</w:t>
            </w:r>
            <w:r>
              <w:rPr>
                <w:b/>
                <w:bCs/>
                <w:spacing w:val="0"/>
                <w:w w:val="100"/>
                <w:position w:val="0"/>
              </w:rPr>
              <w:t>氟沙星</w:t>
            </w:r>
            <w:r>
              <w:rPr>
                <w:spacing w:val="0"/>
                <w:w w:val="100"/>
                <w:position w:val="0"/>
              </w:rPr>
              <w:t>、诺</w:t>
            </w:r>
            <w:r>
              <w:rPr>
                <w:b/>
                <w:bCs/>
                <w:spacing w:val="0"/>
                <w:w w:val="100"/>
                <w:position w:val="0"/>
              </w:rPr>
              <w:t>氟沙星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4</w:t>
            </w:r>
            <w:r>
              <w:rPr>
                <w:spacing w:val="0"/>
                <w:w w:val="100"/>
                <w:position w:val="0"/>
              </w:rPr>
              <w:t>种兽药的原料药的各种 盐、酯及其各种制剂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农业部公告第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2292</w:t>
            </w:r>
            <w:r>
              <w:rPr>
                <w:spacing w:val="0"/>
                <w:w w:val="100"/>
                <w:position w:val="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2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噬菌蛭弧菌微生态制剂</w:t>
            </w:r>
            <w:r>
              <w:rPr>
                <w:spacing w:val="0"/>
                <w:w w:val="100"/>
                <w:position w:val="0"/>
              </w:rPr>
              <w:t>(生物制菌王)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农业部公告第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2293</w:t>
            </w:r>
            <w:r>
              <w:rPr>
                <w:spacing w:val="0"/>
                <w:w w:val="100"/>
                <w:position w:val="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3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非泼罗尼</w:t>
            </w:r>
            <w:r>
              <w:rPr>
                <w:spacing w:val="0"/>
                <w:w w:val="100"/>
                <w:position w:val="0"/>
              </w:rPr>
              <w:t>及相关制剂</w:t>
            </w:r>
            <w:bookmarkStart w:id="3" w:name="_GoBack"/>
            <w:bookmarkEnd w:id="3"/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农业部公告第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2583</w:t>
            </w:r>
            <w:r>
              <w:rPr>
                <w:spacing w:val="0"/>
                <w:w w:val="100"/>
                <w:position w:val="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exac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4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喳乙醇</w:t>
            </w:r>
            <w:r>
              <w:rPr>
                <w:spacing w:val="0"/>
                <w:w w:val="100"/>
                <w:position w:val="0"/>
              </w:rPr>
              <w:t>、氨</w:t>
            </w:r>
            <w:r>
              <w:rPr>
                <w:b/>
                <w:bCs/>
                <w:spacing w:val="0"/>
                <w:w w:val="100"/>
                <w:position w:val="0"/>
              </w:rPr>
              <w:t>苯脾酸</w:t>
            </w:r>
            <w:r>
              <w:rPr>
                <w:spacing w:val="0"/>
                <w:w w:val="100"/>
                <w:position w:val="0"/>
              </w:rPr>
              <w:t>、洛</w:t>
            </w:r>
            <w:r>
              <w:rPr>
                <w:b/>
                <w:bCs/>
                <w:spacing w:val="0"/>
                <w:w w:val="100"/>
                <w:position w:val="0"/>
                <w:lang w:val="zh-CN" w:eastAsia="zh-CN" w:bidi="zh-CN"/>
              </w:rPr>
              <w:t>克沙脾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3</w:t>
            </w:r>
            <w:r>
              <w:rPr>
                <w:spacing w:val="0"/>
                <w:w w:val="100"/>
                <w:position w:val="0"/>
              </w:rPr>
              <w:t>种兽药的原料药及各种制剂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农业部公告第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2638</w:t>
            </w:r>
            <w:r>
              <w:rPr>
                <w:spacing w:val="0"/>
                <w:w w:val="100"/>
                <w:position w:val="0"/>
              </w:rPr>
              <w:t>号</w:t>
            </w:r>
          </w:p>
        </w:tc>
      </w:tr>
    </w:tbl>
    <w:p>
      <w:pPr>
        <w:widowControl/>
        <w:spacing w:line="600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吉林省农业农村厅（宣）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82F01"/>
    <w:rsid w:val="0335211D"/>
    <w:rsid w:val="041D59EE"/>
    <w:rsid w:val="04544E32"/>
    <w:rsid w:val="04CA3294"/>
    <w:rsid w:val="064A1B78"/>
    <w:rsid w:val="076C65BC"/>
    <w:rsid w:val="09642592"/>
    <w:rsid w:val="09F93B0A"/>
    <w:rsid w:val="0D687F94"/>
    <w:rsid w:val="0E40134D"/>
    <w:rsid w:val="0F5A105F"/>
    <w:rsid w:val="10C162F8"/>
    <w:rsid w:val="10EB7615"/>
    <w:rsid w:val="123D36BA"/>
    <w:rsid w:val="13000BE4"/>
    <w:rsid w:val="146A082D"/>
    <w:rsid w:val="149B2ADE"/>
    <w:rsid w:val="150056C7"/>
    <w:rsid w:val="151C757A"/>
    <w:rsid w:val="16175EBC"/>
    <w:rsid w:val="174F0612"/>
    <w:rsid w:val="195870C5"/>
    <w:rsid w:val="1B203819"/>
    <w:rsid w:val="1BAC3437"/>
    <w:rsid w:val="1FC519DC"/>
    <w:rsid w:val="1FE0287C"/>
    <w:rsid w:val="20295109"/>
    <w:rsid w:val="20FF01E7"/>
    <w:rsid w:val="2327634B"/>
    <w:rsid w:val="23BF2939"/>
    <w:rsid w:val="275D4008"/>
    <w:rsid w:val="28353639"/>
    <w:rsid w:val="296F62A8"/>
    <w:rsid w:val="2CBF7C14"/>
    <w:rsid w:val="2CD230D2"/>
    <w:rsid w:val="2E6E1CA4"/>
    <w:rsid w:val="316B6B0E"/>
    <w:rsid w:val="35B8534F"/>
    <w:rsid w:val="36631760"/>
    <w:rsid w:val="3818282C"/>
    <w:rsid w:val="3B3661EF"/>
    <w:rsid w:val="3EAE6DC0"/>
    <w:rsid w:val="3F005950"/>
    <w:rsid w:val="3F444713"/>
    <w:rsid w:val="43DF0C1B"/>
    <w:rsid w:val="450C2223"/>
    <w:rsid w:val="45B04EEF"/>
    <w:rsid w:val="46AD63E5"/>
    <w:rsid w:val="4A2D6BDA"/>
    <w:rsid w:val="4A593A5A"/>
    <w:rsid w:val="4A882F01"/>
    <w:rsid w:val="4F266047"/>
    <w:rsid w:val="50497DD3"/>
    <w:rsid w:val="51461A7D"/>
    <w:rsid w:val="51937763"/>
    <w:rsid w:val="522325B6"/>
    <w:rsid w:val="522C47AC"/>
    <w:rsid w:val="58A61A09"/>
    <w:rsid w:val="5B19396B"/>
    <w:rsid w:val="61E37210"/>
    <w:rsid w:val="62F3656F"/>
    <w:rsid w:val="67A768C2"/>
    <w:rsid w:val="6A581045"/>
    <w:rsid w:val="6E920782"/>
    <w:rsid w:val="6FDD482F"/>
    <w:rsid w:val="7338268F"/>
    <w:rsid w:val="74103B31"/>
    <w:rsid w:val="79F87156"/>
    <w:rsid w:val="7E9250C3"/>
    <w:rsid w:val="7FE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customStyle="1" w:styleId="11">
    <w:name w:val="font21"/>
    <w:basedOn w:val="7"/>
    <w:qFormat/>
    <w:uiPriority w:val="0"/>
    <w:rPr>
      <w:rFonts w:hint="default" w:ascii="Arial" w:hAnsi="Arial" w:cs="Arial"/>
      <w:color w:val="333333"/>
      <w:sz w:val="20"/>
      <w:szCs w:val="20"/>
      <w:u w:val="none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40" w:line="346" w:lineRule="exact"/>
      <w:outlineLvl w:val="2"/>
    </w:pPr>
    <w:rPr>
      <w:rFonts w:ascii="宋体" w:hAnsi="宋体" w:eastAsia="宋体" w:cs="宋体"/>
      <w:color w:val="040505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40505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2020-07-02T00:39:00Z</dcterms:created>
  <dc:creator>史东兴</dc:creator>
  <cp:lastModifiedBy>Red </cp:lastModifiedBy>
  <dcterms:modified xsi:type="dcterms:W3CDTF">2020-12-28T01:09:29Z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