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4"/>
        <w:widowControl w:val="0"/>
        <w:spacing w:before="0" w:beforeLines="0" w:beforeAutospacing="0" w:after="0" w:afterLines="0" w:afterAutospacing="0" w:line="600" w:lineRule="exact"/>
        <w:jc w:val="both"/>
        <w:rPr>
          <w:rFonts w:hint="eastAsia" w:ascii="黑体" w:hAnsi="黑体" w:eastAsia="黑体"/>
          <w:color w:val="auto"/>
          <w:sz w:val="32"/>
          <w:shd w:val="clear" w:color="auto" w:fill="FFFFFF"/>
          <w:lang w:val="en-US" w:eastAsia="zh-CN"/>
        </w:rPr>
      </w:pPr>
      <w:bookmarkStart w:id="0" w:name="_GoBack"/>
      <w:bookmarkEnd w:id="0"/>
      <w:r>
        <w:rPr>
          <w:rFonts w:hint="eastAsia" w:ascii="黑体" w:hAnsi="黑体" w:eastAsia="黑体"/>
          <w:color w:val="auto"/>
          <w:sz w:val="32"/>
          <w:shd w:val="clear" w:color="auto" w:fill="FFFFFF"/>
          <w:lang w:val="en-US"/>
        </w:rPr>
        <w:t>SDPR-201</w:t>
      </w:r>
      <w:r>
        <w:rPr>
          <w:rFonts w:hint="eastAsia" w:ascii="黑体" w:hAnsi="黑体" w:eastAsia="黑体"/>
          <w:color w:val="auto"/>
          <w:sz w:val="32"/>
          <w:shd w:val="clear" w:color="auto" w:fill="FFFFFF"/>
          <w:lang w:val="en-US" w:eastAsia="zh-CN"/>
        </w:rPr>
        <w:t>5</w:t>
      </w:r>
      <w:r>
        <w:rPr>
          <w:rFonts w:hint="eastAsia" w:ascii="黑体" w:hAnsi="黑体" w:eastAsia="黑体"/>
          <w:color w:val="auto"/>
          <w:sz w:val="32"/>
          <w:shd w:val="clear" w:color="auto" w:fill="FFFFFF"/>
          <w:lang w:val="en-US"/>
        </w:rPr>
        <w:t>-0500</w:t>
      </w:r>
      <w:r>
        <w:rPr>
          <w:rFonts w:hint="eastAsia" w:ascii="黑体" w:hAnsi="黑体" w:eastAsia="黑体"/>
          <w:color w:val="auto"/>
          <w:sz w:val="32"/>
          <w:shd w:val="clear" w:color="auto" w:fill="FFFFFF"/>
          <w:lang w:val="en-US" w:eastAsia="zh-CN"/>
        </w:rPr>
        <w:t>044</w:t>
      </w:r>
    </w:p>
    <w:p>
      <w:pPr>
        <w:widowControl w:val="0"/>
        <w:spacing w:beforeLines="0" w:afterLines="0" w:line="600" w:lineRule="exact"/>
        <w:jc w:val="center"/>
        <w:rPr>
          <w:rFonts w:hint="eastAsia" w:ascii="方正小标宋_GBK" w:eastAsia="方正小标宋_GBK"/>
          <w:color w:val="auto"/>
          <w:sz w:val="44"/>
        </w:rPr>
      </w:pPr>
    </w:p>
    <w:p>
      <w:pPr>
        <w:widowControl w:val="0"/>
        <w:spacing w:beforeLines="0" w:afterLines="0" w:line="600" w:lineRule="exact"/>
        <w:jc w:val="center"/>
        <w:rPr>
          <w:rFonts w:hint="eastAsia"/>
          <w:color w:val="auto"/>
          <w:sz w:val="44"/>
        </w:rPr>
      </w:pPr>
      <w:r>
        <w:rPr>
          <w:rFonts w:hint="eastAsia" w:eastAsia="方正小标宋_GBK"/>
          <w:color w:val="auto"/>
          <w:sz w:val="44"/>
        </w:rPr>
        <w:t>关于进一步加强体外诊断试剂（药品）</w:t>
      </w:r>
    </w:p>
    <w:p>
      <w:pPr>
        <w:widowControl w:val="0"/>
        <w:spacing w:beforeLines="0" w:afterLines="0" w:line="600" w:lineRule="exact"/>
        <w:jc w:val="center"/>
        <w:rPr>
          <w:rFonts w:hint="eastAsia"/>
          <w:color w:val="auto"/>
          <w:sz w:val="44"/>
        </w:rPr>
      </w:pPr>
      <w:r>
        <w:rPr>
          <w:rFonts w:hint="eastAsia" w:eastAsia="方正小标宋_GBK"/>
          <w:color w:val="auto"/>
          <w:sz w:val="44"/>
        </w:rPr>
        <w:t>经营监管的通知</w:t>
      </w:r>
    </w:p>
    <w:p>
      <w:pPr>
        <w:widowControl w:val="0"/>
        <w:spacing w:beforeLines="0" w:afterLines="0" w:line="600" w:lineRule="exact"/>
        <w:jc w:val="center"/>
        <w:rPr>
          <w:rFonts w:hint="eastAsia"/>
          <w:color w:val="auto"/>
          <w:sz w:val="44"/>
        </w:rPr>
      </w:pPr>
    </w:p>
    <w:p>
      <w:pPr>
        <w:widowControl w:val="0"/>
        <w:spacing w:beforeLines="0" w:afterLines="0" w:line="600" w:lineRule="exact"/>
        <w:jc w:val="center"/>
        <w:rPr>
          <w:rFonts w:hint="eastAsia" w:eastAsia="仿宋_GB2312"/>
          <w:color w:val="auto"/>
          <w:sz w:val="32"/>
          <w:lang w:val="en-US" w:eastAsia="zh-CN"/>
        </w:rPr>
      </w:pPr>
      <w:r>
        <w:rPr>
          <w:rFonts w:hint="eastAsia" w:eastAsia="仿宋_GB2312"/>
          <w:color w:val="auto"/>
          <w:sz w:val="32"/>
        </w:rPr>
        <w:t>鲁食药监市〔2013〕144号</w:t>
      </w:r>
      <w:r>
        <w:rPr>
          <w:rFonts w:hint="eastAsia" w:eastAsia="仿宋_GB2312"/>
          <w:color w:val="auto"/>
          <w:sz w:val="32"/>
          <w:lang w:val="en-US" w:eastAsia="zh-CN"/>
        </w:rPr>
        <w:t xml:space="preserve"> </w:t>
      </w:r>
    </w:p>
    <w:p>
      <w:pPr>
        <w:widowControl w:val="0"/>
        <w:spacing w:beforeLines="0" w:afterLines="0" w:line="600" w:lineRule="exact"/>
        <w:ind w:firstLine="640" w:firstLineChars="200"/>
        <w:rPr>
          <w:rFonts w:hint="eastAsia"/>
          <w:color w:val="auto"/>
          <w:sz w:val="32"/>
        </w:rPr>
      </w:pPr>
    </w:p>
    <w:p>
      <w:pPr>
        <w:widowControl w:val="0"/>
        <w:spacing w:beforeLines="0" w:afterLines="0" w:line="600" w:lineRule="exact"/>
        <w:rPr>
          <w:rFonts w:hint="eastAsia"/>
          <w:color w:val="auto"/>
          <w:sz w:val="32"/>
        </w:rPr>
      </w:pPr>
      <w:r>
        <w:rPr>
          <w:rFonts w:hint="eastAsia" w:eastAsia="仿宋_GB2312"/>
          <w:color w:val="auto"/>
          <w:sz w:val="32"/>
        </w:rPr>
        <w:t>各市食品药品监督管理局：</w:t>
      </w:r>
    </w:p>
    <w:p>
      <w:pPr>
        <w:widowControl w:val="0"/>
        <w:spacing w:beforeLines="0" w:afterLines="0" w:line="600" w:lineRule="exact"/>
        <w:ind w:firstLine="640" w:firstLineChars="200"/>
        <w:rPr>
          <w:rFonts w:hint="eastAsia"/>
          <w:color w:val="auto"/>
          <w:sz w:val="32"/>
        </w:rPr>
      </w:pPr>
      <w:r>
        <w:rPr>
          <w:rFonts w:hint="eastAsia" w:eastAsia="仿宋_GB2312"/>
          <w:color w:val="auto"/>
          <w:sz w:val="32"/>
        </w:rPr>
        <w:t>为进一步加强体外诊断试剂（药品）经营企业监管，规范体外诊断试剂（药品）经营行为，切实保障临床诊断和人民群众用药安全，现就有关要求通知如下：</w:t>
      </w:r>
    </w:p>
    <w:p>
      <w:pPr>
        <w:widowControl w:val="0"/>
        <w:spacing w:beforeLines="0" w:afterLines="0" w:line="600" w:lineRule="exact"/>
        <w:ind w:firstLine="640" w:firstLineChars="200"/>
        <w:rPr>
          <w:rFonts w:hint="eastAsia"/>
          <w:color w:val="auto"/>
          <w:sz w:val="32"/>
        </w:rPr>
      </w:pPr>
      <w:r>
        <w:rPr>
          <w:rFonts w:hint="eastAsia" w:eastAsia="仿宋_GB2312"/>
          <w:color w:val="auto"/>
          <w:sz w:val="32"/>
        </w:rPr>
        <w:t>一、体外诊断试剂（药品）依法许可经营。依据国家食品药品监督管理局《体外诊断试剂注册管理办法（试行）》的规定，法定用于血源筛查和采用放射性核素标记的体外诊断试剂按照药品进行管理，经营此类产品须依法取得《药品经营许可证》。</w:t>
      </w:r>
    </w:p>
    <w:p>
      <w:pPr>
        <w:widowControl w:val="0"/>
        <w:spacing w:beforeLines="0" w:afterLines="0" w:line="600" w:lineRule="exact"/>
        <w:ind w:firstLine="640" w:firstLineChars="200"/>
        <w:rPr>
          <w:rFonts w:hint="eastAsia"/>
          <w:color w:val="auto"/>
          <w:sz w:val="32"/>
        </w:rPr>
      </w:pPr>
      <w:r>
        <w:rPr>
          <w:rFonts w:hint="eastAsia" w:eastAsia="仿宋_GB2312"/>
          <w:color w:val="auto"/>
          <w:sz w:val="32"/>
        </w:rPr>
        <w:t>二、体外诊断试剂（药品）经营企业许可条件。</w:t>
      </w:r>
    </w:p>
    <w:p>
      <w:pPr>
        <w:widowControl w:val="0"/>
        <w:spacing w:beforeLines="0" w:afterLines="0" w:line="600" w:lineRule="exact"/>
        <w:ind w:firstLine="640" w:firstLineChars="200"/>
        <w:rPr>
          <w:rFonts w:hint="eastAsia"/>
          <w:color w:val="auto"/>
          <w:sz w:val="32"/>
        </w:rPr>
      </w:pPr>
      <w:r>
        <w:rPr>
          <w:rFonts w:hint="eastAsia" w:eastAsia="仿宋_GB2312"/>
          <w:color w:val="auto"/>
          <w:sz w:val="32"/>
        </w:rPr>
        <w:t>专营体外诊断试剂（药品）经营企业在符合国家食品药品监督管理总局有关要求的基础上，还应具备以下条件：</w:t>
      </w:r>
    </w:p>
    <w:p>
      <w:pPr>
        <w:widowControl w:val="0"/>
        <w:spacing w:beforeLines="0" w:afterLines="0" w:line="600" w:lineRule="exact"/>
        <w:ind w:firstLine="640" w:firstLineChars="200"/>
        <w:rPr>
          <w:rFonts w:hint="eastAsia"/>
          <w:color w:val="auto"/>
          <w:sz w:val="32"/>
        </w:rPr>
      </w:pPr>
      <w:r>
        <w:rPr>
          <w:rFonts w:hint="eastAsia" w:eastAsia="仿宋_GB2312"/>
          <w:color w:val="auto"/>
          <w:sz w:val="32"/>
        </w:rPr>
        <w:t>营业场所和办公用房面积200平方米以上；</w:t>
      </w:r>
    </w:p>
    <w:p>
      <w:pPr>
        <w:widowControl w:val="0"/>
        <w:spacing w:beforeLines="0" w:afterLines="0" w:line="600" w:lineRule="exact"/>
        <w:ind w:firstLine="640" w:firstLineChars="200"/>
        <w:rPr>
          <w:rFonts w:hint="eastAsia"/>
          <w:color w:val="auto"/>
          <w:sz w:val="32"/>
        </w:rPr>
      </w:pPr>
      <w:r>
        <w:rPr>
          <w:rFonts w:hint="eastAsia" w:eastAsia="仿宋_GB2312"/>
          <w:color w:val="auto"/>
          <w:sz w:val="32"/>
        </w:rPr>
        <w:t>具有适宜体外诊断试剂（药品）分类保管和符合储存要求的库房，冷库容积不低于200立方米；</w:t>
      </w:r>
    </w:p>
    <w:p>
      <w:pPr>
        <w:widowControl w:val="0"/>
        <w:spacing w:beforeLines="0" w:afterLines="0" w:line="600" w:lineRule="exact"/>
        <w:ind w:firstLine="640" w:firstLineChars="200"/>
        <w:rPr>
          <w:rFonts w:hint="eastAsia"/>
          <w:color w:val="auto"/>
          <w:sz w:val="32"/>
        </w:rPr>
      </w:pPr>
      <w:r>
        <w:rPr>
          <w:rFonts w:hint="eastAsia" w:eastAsia="仿宋_GB2312"/>
          <w:color w:val="auto"/>
          <w:sz w:val="32"/>
        </w:rPr>
        <w:t>质量负责人应是执业药师，质量管理机构负责人应是主管检验师；</w:t>
      </w:r>
    </w:p>
    <w:p>
      <w:pPr>
        <w:widowControl w:val="0"/>
        <w:spacing w:beforeLines="0" w:afterLines="0" w:line="600" w:lineRule="exact"/>
        <w:ind w:firstLine="640" w:firstLineChars="200"/>
        <w:rPr>
          <w:rFonts w:hint="eastAsia"/>
          <w:color w:val="auto"/>
          <w:sz w:val="32"/>
        </w:rPr>
      </w:pPr>
      <w:r>
        <w:rPr>
          <w:rFonts w:hint="eastAsia" w:eastAsia="仿宋_GB2312"/>
          <w:color w:val="auto"/>
          <w:sz w:val="32"/>
        </w:rPr>
        <w:t>储存运输环节达到冷链要求；</w:t>
      </w:r>
    </w:p>
    <w:p>
      <w:pPr>
        <w:widowControl w:val="0"/>
        <w:spacing w:beforeLines="0" w:afterLines="0" w:line="600" w:lineRule="exact"/>
        <w:ind w:firstLine="640" w:firstLineChars="200"/>
        <w:rPr>
          <w:rFonts w:hint="eastAsia"/>
          <w:color w:val="auto"/>
          <w:sz w:val="32"/>
        </w:rPr>
      </w:pPr>
      <w:r>
        <w:rPr>
          <w:rFonts w:hint="eastAsia" w:eastAsia="仿宋_GB2312"/>
          <w:color w:val="auto"/>
          <w:sz w:val="32"/>
        </w:rPr>
        <w:t>取得《药品经营质量管理规范》认证证书，按照GSP要求从事经营活动。</w:t>
      </w:r>
    </w:p>
    <w:p>
      <w:pPr>
        <w:widowControl w:val="0"/>
        <w:spacing w:beforeLines="0" w:afterLines="0" w:line="600" w:lineRule="exact"/>
        <w:ind w:firstLine="640" w:firstLineChars="200"/>
        <w:rPr>
          <w:rFonts w:hint="eastAsia"/>
          <w:color w:val="auto"/>
          <w:sz w:val="32"/>
        </w:rPr>
      </w:pPr>
      <w:r>
        <w:rPr>
          <w:rFonts w:hint="eastAsia" w:eastAsia="仿宋_GB2312"/>
          <w:color w:val="auto"/>
          <w:sz w:val="32"/>
        </w:rPr>
        <w:t>具备生物制品经营范围的普通药品批发企业可以经营体外诊断试剂（药品）。</w:t>
      </w:r>
    </w:p>
    <w:p>
      <w:pPr>
        <w:widowControl w:val="0"/>
        <w:spacing w:beforeLines="0" w:afterLines="0" w:line="600" w:lineRule="exact"/>
        <w:ind w:firstLine="640" w:firstLineChars="200"/>
        <w:rPr>
          <w:rFonts w:hint="eastAsia"/>
          <w:color w:val="auto"/>
          <w:sz w:val="32"/>
        </w:rPr>
      </w:pPr>
      <w:r>
        <w:rPr>
          <w:rFonts w:hint="eastAsia" w:eastAsia="仿宋_GB2312"/>
          <w:color w:val="auto"/>
          <w:sz w:val="32"/>
        </w:rPr>
        <w:t>三、符合许可条件的体外诊断试剂（药品）经营企业可继续经营。依法经核准取得《药品经营许可证》（经营范围为体外诊断试剂），并准备继续从事经营的体外诊断试剂专营企业，在《药品经营许可证》到期之前六个月之内可以依照程序申请换发《药品经营许可证》。达到经营许可条件并符合换证要求的，准予换发新的《药品经营许可证》，经营范围核定为生物制品（限体外诊断试剂）。对到期未换证或经整改仍达不到经营许可条件的企业，注销其《药品经营许可证》。</w:t>
      </w:r>
    </w:p>
    <w:p>
      <w:pPr>
        <w:widowControl w:val="0"/>
        <w:spacing w:beforeLines="0" w:afterLines="0" w:line="600" w:lineRule="exact"/>
        <w:ind w:firstLine="640" w:firstLineChars="200"/>
        <w:rPr>
          <w:rFonts w:hint="eastAsia"/>
          <w:color w:val="auto"/>
          <w:sz w:val="32"/>
        </w:rPr>
      </w:pPr>
      <w:r>
        <w:rPr>
          <w:rFonts w:hint="eastAsia" w:eastAsia="仿宋_GB2312"/>
          <w:color w:val="auto"/>
          <w:sz w:val="32"/>
        </w:rPr>
        <w:t>四、各级食品药品监督管理部门要切实增强责任意识,进一步加强对辖区内体外诊断试剂（药品）经营企业的监管，尤其要把技术人员是否在岗、许可项目是否擅自变更、主要设备设施（冷库、冷藏车）是否运转正常、是否按照GSP要求从事经营活动等内容作为监管的重点，对违规违法行为坚决予以依法查处并及时向社会公告。</w:t>
      </w:r>
    </w:p>
    <w:p>
      <w:pPr>
        <w:widowControl w:val="0"/>
        <w:spacing w:beforeLines="0" w:afterLines="0" w:line="600" w:lineRule="exact"/>
        <w:ind w:firstLine="640" w:firstLineChars="200"/>
        <w:rPr>
          <w:rFonts w:hint="eastAsia"/>
          <w:color w:val="auto"/>
          <w:sz w:val="32"/>
        </w:rPr>
      </w:pPr>
    </w:p>
    <w:p>
      <w:pPr>
        <w:widowControl w:val="0"/>
        <w:spacing w:beforeLines="0" w:afterLines="0" w:line="600" w:lineRule="exact"/>
        <w:ind w:firstLine="640" w:firstLineChars="200"/>
        <w:rPr>
          <w:rFonts w:hint="eastAsia"/>
          <w:color w:val="auto"/>
          <w:sz w:val="32"/>
        </w:rPr>
      </w:pPr>
    </w:p>
    <w:p>
      <w:pPr>
        <w:widowControl w:val="0"/>
        <w:spacing w:beforeLines="0" w:afterLines="0" w:line="600" w:lineRule="exact"/>
        <w:ind w:firstLine="640" w:firstLineChars="200"/>
        <w:rPr>
          <w:rFonts w:hint="eastAsia"/>
          <w:color w:val="auto"/>
          <w:sz w:val="32"/>
        </w:rPr>
      </w:pPr>
    </w:p>
    <w:p>
      <w:pPr>
        <w:widowControl w:val="0"/>
        <w:wordWrap w:val="0"/>
        <w:spacing w:beforeLines="0" w:afterLines="0" w:line="600" w:lineRule="exact"/>
        <w:jc w:val="right"/>
        <w:rPr>
          <w:rFonts w:hint="eastAsia" w:eastAsia="仿宋_GB2312"/>
          <w:color w:val="auto"/>
          <w:sz w:val="32"/>
          <w:lang w:val="en-US" w:eastAsia="zh-CN"/>
        </w:rPr>
      </w:pPr>
      <w:r>
        <w:rPr>
          <w:rFonts w:hint="eastAsia" w:eastAsia="仿宋_GB2312"/>
          <w:color w:val="auto"/>
          <w:sz w:val="32"/>
        </w:rPr>
        <w:t>山东省食品药品监督管理局</w:t>
      </w:r>
      <w:r>
        <w:rPr>
          <w:rFonts w:hint="eastAsia" w:eastAsia="仿宋_GB2312"/>
          <w:color w:val="auto"/>
          <w:sz w:val="32"/>
          <w:lang w:val="en-US" w:eastAsia="zh-CN"/>
        </w:rPr>
        <w:t xml:space="preserve">    </w:t>
      </w:r>
    </w:p>
    <w:p>
      <w:pPr>
        <w:spacing w:beforeLines="0" w:afterLines="0" w:line="600" w:lineRule="exact"/>
        <w:ind w:firstLine="5440" w:firstLineChars="1700"/>
        <w:rPr>
          <w:rFonts w:hint="eastAsia"/>
          <w:sz w:val="21"/>
        </w:rPr>
      </w:pPr>
      <w:r>
        <w:rPr>
          <w:rFonts w:hint="eastAsia"/>
          <w:color w:val="auto"/>
          <w:sz w:val="32"/>
        </w:rPr>
        <w:t>2013</w:t>
      </w:r>
      <w:r>
        <w:rPr>
          <w:rFonts w:hint="eastAsia" w:eastAsia="仿宋_GB2312"/>
          <w:color w:val="auto"/>
          <w:sz w:val="32"/>
        </w:rPr>
        <w:t>年6月21日</w:t>
      </w:r>
      <w:r>
        <w:rPr>
          <w:rFonts w:hint="eastAsia" w:eastAsia="仿宋_GB2312"/>
          <w:color w:val="auto"/>
          <w:sz w:val="32"/>
          <w:lang w:val="en-US" w:eastAsia="zh-CN"/>
        </w:rPr>
        <w:t xml:space="preserve">      </w:t>
      </w:r>
    </w:p>
    <w:sectPr>
      <w:footerReference r:id="rId3" w:type="default"/>
      <w:pgSz w:w="12240" w:h="15840"/>
      <w:pgMar w:top="2007" w:right="1463" w:bottom="1780" w:left="1519"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Lines="0" w:afterLines="0"/>
      <w:rPr>
        <w:rFonts w:hint="eastAsia"/>
        <w:sz w:val="18"/>
      </w:rPr>
    </w:pPr>
    <w:r>
      <w:rPr>
        <w:rFonts w:hint="default" w:eastAsia="宋体"/>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spacing w:beforeLines="0" w:afterLines="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eYE8nwwEAAHADAAAOAAAAAAAAAAEAIAAAAB4BAABkcnMvZTJvRG9jLnhtbFBL&#10;BQYAAAAABgAGAFkBAABTBQAAAAA=&#10;">
              <v:fill on="f" focussize="0,0"/>
              <v:stroke on="f"/>
              <v:imagedata o:title=""/>
              <o:lock v:ext="edit" aspectratio="f"/>
              <v:textbox inset="0mm,0mm,0mm,0mm" style="mso-fit-shape-to-text:t;">
                <w:txbxContent>
                  <w:p>
                    <w:pPr>
                      <w:pStyle w:val="2"/>
                      <w:spacing w:beforeLines="0" w:afterLines="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rPr>
                        <w:rFonts w:hint="eastAsia" w:eastAsia="宋体"/>
                        <w:sz w:val="18"/>
                        <w:lang w:eastAsia="zh-CN"/>
                      </w:rPr>
                      <w:t>1</w:t>
                    </w:r>
                    <w:r>
                      <w:rPr>
                        <w:rFonts w:hint="eastAsia" w:eastAsia="宋体"/>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E4363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iPriority="0"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Light Shading"/>
    <w:lsdException w:qFormat="1" w:unhideWhenUsed="0" w:uiPriority="99" w:semiHidden="0" w:name="Light List"/>
    <w:lsdException w:qFormat="1" w:unhideWhenUsed="0" w:uiPriority="99" w:semiHidden="0" w:name="Light Grid"/>
    <w:lsdException w:qFormat="1" w:unhideWhenUsed="0" w:uiPriority="99" w:semiHidden="0" w:name="Medium Shading 1"/>
    <w:lsdException w:qFormat="1" w:unhideWhenUsed="0" w:uiPriority="99" w:semiHidden="0" w:name="Medium Shading 2"/>
    <w:lsdException w:qFormat="1" w:unhideWhenUsed="0" w:uiPriority="99" w:semiHidden="0" w:name="Medium List 1"/>
    <w:lsdException w:qFormat="1" w:unhideWhenUsed="0" w:uiPriority="99" w:semiHidden="0" w:name="Medium List 2"/>
    <w:lsdException w:qFormat="1" w:unhideWhenUsed="0" w:uiPriority="99" w:semiHidden="0" w:name="Medium Grid 1"/>
    <w:lsdException w:qFormat="1" w:unhideWhenUsed="0" w:uiPriority="99" w:semiHidden="0" w:name="Medium Grid 2"/>
    <w:lsdException w:qFormat="1" w:unhideWhenUsed="0" w:uiPriority="99" w:semiHidden="0" w:name="Medium Grid 3"/>
    <w:lsdException w:qFormat="1" w:unhideWhenUsed="0" w:uiPriority="99" w:semiHidden="0" w:name="Dark List"/>
    <w:lsdException w:qFormat="1" w:unhideWhenUsed="0" w:uiPriority="99" w:semiHidden="0" w:name="Colorful Shading"/>
    <w:lsdException w:qFormat="1" w:unhideWhenUsed="0" w:uiPriority="99" w:semiHidden="0" w:name="Colorful List"/>
    <w:lsdException w:qFormat="1" w:unhideWhenUsed="0" w:uiPriority="99" w:semiHidden="0" w:name="Colorful Grid"/>
    <w:lsdException w:qFormat="1" w:unhideWhenUsed="0" w:uiPriority="99" w:semiHidden="0" w:name="Light Shading Accent 1"/>
    <w:lsdException w:qFormat="1" w:unhideWhenUsed="0" w:uiPriority="99" w:semiHidden="0" w:name="Light List Accent 1"/>
    <w:lsdException w:qFormat="1" w:unhideWhenUsed="0" w:uiPriority="99" w:semiHidden="0" w:name="Light Grid Accent 1"/>
    <w:lsdException w:qFormat="1" w:unhideWhenUsed="0" w:uiPriority="99" w:semiHidden="0" w:name="Medium Shading 1 Accent 1"/>
    <w:lsdException w:qFormat="1" w:unhideWhenUsed="0" w:uiPriority="99" w:semiHidden="0" w:name="Medium Shading 2 Accent 1"/>
    <w:lsdException w:qFormat="1" w:unhideWhenUsed="0" w:uiPriority="99" w:semiHidden="0" w:name="Medium List 1 Accent 1"/>
    <w:lsdException w:qFormat="1" w:unhideWhenUsed="0" w:uiPriority="99" w:semiHidden="0" w:name="Medium List 2 Accent 1"/>
    <w:lsdException w:qFormat="1" w:unhideWhenUsed="0" w:uiPriority="99" w:semiHidden="0" w:name="Medium Grid 1 Accent 1"/>
    <w:lsdException w:qFormat="1" w:unhideWhenUsed="0" w:uiPriority="99" w:semiHidden="0" w:name="Medium Grid 2 Accent 1"/>
    <w:lsdException w:qFormat="1" w:unhideWhenUsed="0" w:uiPriority="99" w:semiHidden="0" w:name="Medium Grid 3 Accent 1"/>
    <w:lsdException w:qFormat="1" w:unhideWhenUsed="0" w:uiPriority="99" w:semiHidden="0" w:name="Dark List Accent 1"/>
    <w:lsdException w:qFormat="1" w:unhideWhenUsed="0" w:uiPriority="99" w:semiHidden="0" w:name="Colorful Shading Accent 1"/>
    <w:lsdException w:qFormat="1" w:unhideWhenUsed="0" w:uiPriority="99" w:semiHidden="0" w:name="Colorful List Accent 1"/>
    <w:lsdException w:qFormat="1" w:unhideWhenUsed="0" w:uiPriority="99" w:semiHidden="0" w:name="Colorful Grid Accent 1"/>
    <w:lsdException w:qFormat="1" w:unhideWhenUsed="0" w:uiPriority="99" w:semiHidden="0" w:name="Light Shading Accent 2"/>
    <w:lsdException w:qFormat="1" w:unhideWhenUsed="0" w:uiPriority="99" w:semiHidden="0" w:name="Light List Accent 2"/>
    <w:lsdException w:qFormat="1" w:unhideWhenUsed="0" w:uiPriority="99" w:semiHidden="0" w:name="Light Grid Accent 2"/>
    <w:lsdException w:qFormat="1" w:unhideWhenUsed="0" w:uiPriority="99" w:semiHidden="0" w:name="Medium Shading 1 Accent 2"/>
    <w:lsdException w:qFormat="1" w:unhideWhenUsed="0" w:uiPriority="99" w:semiHidden="0" w:name="Medium Shading 2 Accent 2"/>
    <w:lsdException w:qFormat="1" w:unhideWhenUsed="0" w:uiPriority="99" w:semiHidden="0" w:name="Medium List 1 Accent 2"/>
    <w:lsdException w:qFormat="1" w:unhideWhenUsed="0" w:uiPriority="99" w:semiHidden="0" w:name="Medium List 2 Accent 2"/>
    <w:lsdException w:qFormat="1" w:unhideWhenUsed="0" w:uiPriority="99" w:semiHidden="0" w:name="Medium Grid 1 Accent 2"/>
    <w:lsdException w:qFormat="1" w:unhideWhenUsed="0" w:uiPriority="99" w:semiHidden="0" w:name="Medium Grid 2 Accent 2"/>
    <w:lsdException w:qFormat="1" w:unhideWhenUsed="0" w:uiPriority="99" w:semiHidden="0" w:name="Medium Grid 3 Accent 2"/>
    <w:lsdException w:qFormat="1" w:unhideWhenUsed="0" w:uiPriority="99" w:semiHidden="0" w:name="Dark List Accent 2"/>
    <w:lsdException w:qFormat="1" w:unhideWhenUsed="0" w:uiPriority="99" w:semiHidden="0" w:name="Colorful Shading Accent 2"/>
    <w:lsdException w:qFormat="1" w:unhideWhenUsed="0" w:uiPriority="99" w:semiHidden="0" w:name="Colorful List Accent 2"/>
    <w:lsdException w:qFormat="1" w:unhideWhenUsed="0" w:uiPriority="99" w:semiHidden="0" w:name="Colorful Grid Accent 2"/>
    <w:lsdException w:qFormat="1" w:unhideWhenUsed="0" w:uiPriority="99" w:semiHidden="0" w:name="Light Shading Accent 3"/>
    <w:lsdException w:qFormat="1" w:unhideWhenUsed="0" w:uiPriority="99" w:semiHidden="0" w:name="Light List Accent 3"/>
    <w:lsdException w:qFormat="1" w:unhideWhenUsed="0" w:uiPriority="99" w:semiHidden="0" w:name="Light Grid Accent 3"/>
    <w:lsdException w:qFormat="1" w:unhideWhenUsed="0" w:uiPriority="99" w:semiHidden="0" w:name="Medium Shading 1 Accent 3"/>
    <w:lsdException w:qFormat="1" w:unhideWhenUsed="0" w:uiPriority="99" w:semiHidden="0" w:name="Medium Shading 2 Accent 3"/>
    <w:lsdException w:qFormat="1" w:unhideWhenUsed="0" w:uiPriority="99" w:semiHidden="0" w:name="Medium List 1 Accent 3"/>
    <w:lsdException w:qFormat="1" w:unhideWhenUsed="0" w:uiPriority="99" w:semiHidden="0" w:name="Medium List 2 Accent 3"/>
    <w:lsdException w:qFormat="1" w:unhideWhenUsed="0" w:uiPriority="99" w:semiHidden="0" w:name="Medium Grid 1 Accent 3"/>
    <w:lsdException w:qFormat="1" w:unhideWhenUsed="0" w:uiPriority="99" w:semiHidden="0" w:name="Medium Grid 2 Accent 3"/>
    <w:lsdException w:qFormat="1" w:unhideWhenUsed="0" w:uiPriority="99" w:semiHidden="0" w:name="Medium Grid 3 Accent 3"/>
    <w:lsdException w:qFormat="1" w:unhideWhenUsed="0" w:uiPriority="99" w:semiHidden="0" w:name="Dark List Accent 3"/>
    <w:lsdException w:qFormat="1" w:unhideWhenUsed="0" w:uiPriority="99" w:semiHidden="0" w:name="Colorful Shading Accent 3"/>
    <w:lsdException w:qFormat="1" w:unhideWhenUsed="0" w:uiPriority="99" w:semiHidden="0" w:name="Colorful List Accent 3"/>
    <w:lsdException w:qFormat="1" w:unhideWhenUsed="0" w:uiPriority="99" w:semiHidden="0" w:name="Colorful Grid Accent 3"/>
    <w:lsdException w:qFormat="1" w:unhideWhenUsed="0" w:uiPriority="99" w:semiHidden="0" w:name="Light Shading Accent 4"/>
    <w:lsdException w:qFormat="1" w:unhideWhenUsed="0" w:uiPriority="99" w:semiHidden="0" w:name="Light List Accent 4"/>
    <w:lsdException w:qFormat="1" w:unhideWhenUsed="0" w:uiPriority="99" w:semiHidden="0" w:name="Light Grid Accent 4"/>
    <w:lsdException w:qFormat="1" w:unhideWhenUsed="0" w:uiPriority="99" w:semiHidden="0" w:name="Medium Shading 1 Accent 4"/>
    <w:lsdException w:qFormat="1" w:unhideWhenUsed="0" w:uiPriority="99" w:semiHidden="0" w:name="Medium Shading 2 Accent 4"/>
    <w:lsdException w:qFormat="1" w:unhideWhenUsed="0" w:uiPriority="99" w:semiHidden="0" w:name="Medium List 1 Accent 4"/>
    <w:lsdException w:qFormat="1" w:unhideWhenUsed="0" w:uiPriority="99" w:semiHidden="0" w:name="Medium List 2 Accent 4"/>
    <w:lsdException w:qFormat="1" w:unhideWhenUsed="0" w:uiPriority="99" w:semiHidden="0" w:name="Medium Grid 1 Accent 4"/>
    <w:lsdException w:qFormat="1" w:unhideWhenUsed="0" w:uiPriority="99" w:semiHidden="0" w:name="Medium Grid 2 Accent 4"/>
    <w:lsdException w:qFormat="1" w:unhideWhenUsed="0" w:uiPriority="99" w:semiHidden="0" w:name="Medium Grid 3 Accent 4"/>
    <w:lsdException w:qFormat="1" w:unhideWhenUsed="0" w:uiPriority="99" w:semiHidden="0" w:name="Dark List Accent 4"/>
    <w:lsdException w:qFormat="1" w:unhideWhenUsed="0" w:uiPriority="99" w:semiHidden="0" w:name="Colorful Shading Accent 4"/>
    <w:lsdException w:qFormat="1" w:unhideWhenUsed="0" w:uiPriority="99" w:semiHidden="0" w:name="Colorful List Accent 4"/>
    <w:lsdException w:qFormat="1" w:unhideWhenUsed="0" w:uiPriority="99" w:semiHidden="0" w:name="Colorful Grid Accent 4"/>
    <w:lsdException w:qFormat="1" w:unhideWhenUsed="0" w:uiPriority="99" w:semiHidden="0" w:name="Light Shading Accent 5"/>
    <w:lsdException w:qFormat="1" w:unhideWhenUsed="0" w:uiPriority="99" w:semiHidden="0" w:name="Light List Accent 5"/>
    <w:lsdException w:qFormat="1" w:unhideWhenUsed="0" w:uiPriority="99" w:semiHidden="0" w:name="Light Grid Accent 5"/>
    <w:lsdException w:qFormat="1" w:unhideWhenUsed="0" w:uiPriority="99" w:semiHidden="0" w:name="Medium Shading 1 Accent 5"/>
    <w:lsdException w:qFormat="1" w:unhideWhenUsed="0" w:uiPriority="99" w:semiHidden="0" w:name="Medium Shading 2 Accent 5"/>
    <w:lsdException w:qFormat="1" w:unhideWhenUsed="0" w:uiPriority="99" w:semiHidden="0" w:name="Medium List 1 Accent 5"/>
    <w:lsdException w:qFormat="1" w:unhideWhenUsed="0" w:uiPriority="99" w:semiHidden="0" w:name="Medium List 2 Accent 5"/>
    <w:lsdException w:qFormat="1" w:unhideWhenUsed="0" w:uiPriority="99" w:semiHidden="0" w:name="Medium Grid 1 Accent 5"/>
    <w:lsdException w:qFormat="1" w:unhideWhenUsed="0" w:uiPriority="99" w:semiHidden="0" w:name="Medium Grid 2 Accent 5"/>
    <w:lsdException w:qFormat="1" w:unhideWhenUsed="0" w:uiPriority="99" w:semiHidden="0" w:name="Medium Grid 3 Accent 5"/>
    <w:lsdException w:qFormat="1" w:unhideWhenUsed="0" w:uiPriority="99" w:semiHidden="0" w:name="Dark List Accent 5"/>
    <w:lsdException w:qFormat="1" w:unhideWhenUsed="0" w:uiPriority="99" w:semiHidden="0" w:name="Colorful Shading Accent 5"/>
    <w:lsdException w:qFormat="1" w:unhideWhenUsed="0" w:uiPriority="99" w:semiHidden="0" w:name="Colorful List Accent 5"/>
    <w:lsdException w:qFormat="1" w:unhideWhenUsed="0" w:uiPriority="99" w:semiHidden="0" w:name="Colorful Grid Accent 5"/>
    <w:lsdException w:qFormat="1" w:unhideWhenUsed="0" w:uiPriority="99" w:semiHidden="0" w:name="Light Shading Accent 6"/>
    <w:lsdException w:qFormat="1" w:unhideWhenUsed="0" w:uiPriority="99" w:semiHidden="0" w:name="Light List Accent 6"/>
    <w:lsdException w:qFormat="1" w:unhideWhenUsed="0" w:uiPriority="99" w:semiHidden="0" w:name="Light Grid Accent 6"/>
    <w:lsdException w:qFormat="1" w:unhideWhenUsed="0" w:uiPriority="99" w:semiHidden="0" w:name="Medium Shading 1 Accent 6"/>
    <w:lsdException w:qFormat="1" w:unhideWhenUsed="0" w:uiPriority="99" w:semiHidden="0" w:name="Medium Shading 2 Accent 6"/>
    <w:lsdException w:qFormat="1" w:unhideWhenUsed="0" w:uiPriority="99" w:semiHidden="0" w:name="Medium List 1 Accent 6"/>
    <w:lsdException w:qFormat="1" w:unhideWhenUsed="0" w:uiPriority="99" w:semiHidden="0" w:name="Medium List 2 Accent 6"/>
    <w:lsdException w:qFormat="1" w:unhideWhenUsed="0" w:uiPriority="99" w:semiHidden="0" w:name="Medium Grid 1 Accent 6"/>
    <w:lsdException w:qFormat="1" w:unhideWhenUsed="0" w:uiPriority="99" w:semiHidden="0" w:name="Medium Grid 2 Accent 6"/>
    <w:lsdException w:qFormat="1" w:unhideWhenUsed="0" w:uiPriority="99" w:semiHidden="0" w:name="Medium Grid 3 Accent 6"/>
    <w:lsdException w:qFormat="1" w:unhideWhenUsed="0" w:uiPriority="99" w:semiHidden="0" w:name="Dark List Accent 6"/>
    <w:lsdException w:qFormat="1" w:unhideWhenUsed="0" w:uiPriority="99" w:semiHidden="0" w:name="Colorful Shading Accent 6"/>
    <w:lsdException w:qFormat="1" w:unhideWhenUsed="0" w:uiPriority="99" w:semiHidden="0" w:name="Colorful List Accent 6"/>
    <w:lsdException w:qFormat="1" w:unhideWhenUsed="0" w:uiPriority="99" w:semiHidden="0" w:name="Colorful Grid Accent 6"/>
  </w:latentStyles>
  <w:style w:type="paragraph" w:default="1" w:styleId="1">
    <w:name w:val="Normal"/>
    <w:unhideWhenUsed/>
    <w:uiPriority w:val="0"/>
    <w:pPr>
      <w:spacing w:beforeLines="0" w:afterLines="0"/>
      <w:jc w:val="both"/>
    </w:pPr>
    <w:rPr>
      <w:rFonts w:hint="eastAsia" w:ascii="Times New Roman" w:hAnsi="Times New Roman" w:eastAsia="Times New Roman"/>
      <w:kern w:val="2"/>
      <w:sz w:val="21"/>
    </w:rPr>
  </w:style>
  <w:style w:type="character" w:default="1" w:styleId="6">
    <w:name w:val="Default Paragraph Font"/>
    <w:unhideWhenUsed/>
    <w:uiPriority w:val="99"/>
    <w:rPr>
      <w:rFonts w:hint="default"/>
      <w:sz w:val="24"/>
    </w:rPr>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beforeLines="0" w:afterLines="0"/>
      <w:jc w:val="left"/>
    </w:pPr>
    <w:rPr>
      <w:rFonts w:hint="eastAsia"/>
      <w:sz w:val="18"/>
    </w:rPr>
  </w:style>
  <w:style w:type="paragraph" w:styleId="3">
    <w:name w:val="header"/>
    <w:basedOn w:val="1"/>
    <w:unhideWhenUsed/>
    <w:uiPriority w:val="99"/>
    <w:pPr>
      <w:tabs>
        <w:tab w:val="center" w:pos="4153"/>
        <w:tab w:val="right" w:pos="8306"/>
      </w:tabs>
      <w:snapToGrid w:val="0"/>
      <w:spacing w:beforeLines="0" w:afterLines="0"/>
    </w:pPr>
    <w:rPr>
      <w:rFonts w:hint="eastAsia"/>
      <w:sz w:val="18"/>
    </w:rPr>
  </w:style>
  <w:style w:type="paragraph" w:styleId="4">
    <w:name w:val="Normal (Web)"/>
    <w:basedOn w:val="1"/>
    <w:unhideWhenUsed/>
    <w:qFormat/>
    <w:uiPriority w:val="0"/>
    <w:pPr>
      <w:spacing w:before="100" w:beforeLines="0" w:beforeAutospacing="1" w:after="100" w:afterLines="0" w:afterAutospacing="1"/>
      <w:jc w:val="left"/>
    </w:pPr>
    <w:rPr>
      <w:rFonts w:hint="eastAsia" w:ascii="宋体" w:hAnsi="宋体" w:eastAsia="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Office_11.8.6.8810_F1E327BC-269C-435d-A152-05C5408002CA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2020-12-21T06:47:48Z</dcterms:created>
  <dc:creator>Administrator</dc:creator>
  <cp:lastModifiedBy>Administrator</cp:lastModifiedBy>
  <dcterms:modified xsi:type="dcterms:W3CDTF">2020-12-21T06:47:55Z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