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val="0"/>
        <w:spacing w:before="0" w:beforeLines="0" w:beforeAutospacing="0" w:after="0" w:afterLines="0" w:afterAutospacing="0" w:line="552" w:lineRule="exact"/>
        <w:jc w:val="both"/>
        <w:rPr>
          <w:rFonts w:hint="eastAsia" w:ascii="黑体" w:hAnsi="黑体" w:eastAsia="黑体"/>
          <w:color w:val="auto"/>
          <w:sz w:val="32"/>
          <w:shd w:val="clear" w:color="auto" w:fill="FFFFFF"/>
          <w:lang w:val="en-US" w:eastAsia="zh-CN"/>
        </w:rPr>
      </w:pPr>
      <w:bookmarkStart w:id="0" w:name="_GoBack"/>
      <w:bookmarkEnd w:id="0"/>
      <w:r>
        <w:rPr>
          <w:rFonts w:hint="eastAsia" w:ascii="黑体" w:hAnsi="黑体" w:eastAsia="黑体"/>
          <w:color w:val="auto"/>
          <w:sz w:val="32"/>
          <w:shd w:val="clear" w:color="auto" w:fill="FFFFFF"/>
          <w:lang w:val="en-US"/>
        </w:rPr>
        <w:t>SDPR-201</w:t>
      </w:r>
      <w:r>
        <w:rPr>
          <w:rFonts w:hint="eastAsia" w:ascii="黑体" w:hAnsi="黑体" w:eastAsia="黑体"/>
          <w:color w:val="auto"/>
          <w:sz w:val="32"/>
          <w:shd w:val="clear" w:color="auto" w:fill="FFFFFF"/>
          <w:lang w:val="en-US" w:eastAsia="zh-CN"/>
        </w:rPr>
        <w:t>5</w:t>
      </w:r>
      <w:r>
        <w:rPr>
          <w:rFonts w:hint="eastAsia" w:ascii="黑体" w:hAnsi="黑体" w:eastAsia="黑体"/>
          <w:color w:val="auto"/>
          <w:sz w:val="32"/>
          <w:shd w:val="clear" w:color="auto" w:fill="FFFFFF"/>
          <w:lang w:val="en-US"/>
        </w:rPr>
        <w:t>-05000</w:t>
      </w:r>
      <w:r>
        <w:rPr>
          <w:rFonts w:hint="eastAsia" w:ascii="黑体" w:hAnsi="黑体" w:eastAsia="黑体"/>
          <w:color w:val="auto"/>
          <w:sz w:val="32"/>
          <w:shd w:val="clear" w:color="auto" w:fill="FFFFFF"/>
          <w:lang w:val="en-US" w:eastAsia="zh-CN"/>
        </w:rPr>
        <w:t>37</w:t>
      </w:r>
    </w:p>
    <w:p>
      <w:pPr>
        <w:widowControl w:val="0"/>
        <w:spacing w:beforeLines="0" w:afterLines="0" w:line="552" w:lineRule="exact"/>
        <w:jc w:val="center"/>
        <w:rPr>
          <w:rFonts w:hint="eastAsia" w:ascii="方正小标宋_GBK" w:eastAsia="方正小标宋_GBK"/>
          <w:color w:val="auto"/>
          <w:sz w:val="44"/>
        </w:rPr>
      </w:pPr>
    </w:p>
    <w:p>
      <w:pPr>
        <w:widowControl w:val="0"/>
        <w:spacing w:beforeLines="0" w:afterLines="0" w:line="552" w:lineRule="exact"/>
        <w:jc w:val="center"/>
        <w:rPr>
          <w:rFonts w:hint="eastAsia"/>
          <w:color w:val="auto"/>
          <w:sz w:val="44"/>
        </w:rPr>
      </w:pPr>
      <w:r>
        <w:rPr>
          <w:rFonts w:hint="eastAsia" w:eastAsia="方正小标宋_GBK"/>
          <w:color w:val="auto"/>
          <w:sz w:val="44"/>
        </w:rPr>
        <w:t>关于开办药品批发企业有关问题的通知</w:t>
      </w:r>
    </w:p>
    <w:p>
      <w:pPr>
        <w:widowControl w:val="0"/>
        <w:spacing w:beforeLines="0" w:afterLines="0" w:line="552" w:lineRule="exact"/>
        <w:jc w:val="center"/>
        <w:rPr>
          <w:rFonts w:hint="eastAsia"/>
          <w:color w:val="auto"/>
          <w:sz w:val="32"/>
        </w:rPr>
      </w:pPr>
      <w:r>
        <w:rPr>
          <w:rFonts w:hint="eastAsia" w:eastAsia="仿宋_GB2312"/>
          <w:color w:val="auto"/>
          <w:sz w:val="32"/>
        </w:rPr>
        <w:t>鲁食药监发〔2007〕8号</w:t>
      </w:r>
    </w:p>
    <w:p>
      <w:pPr>
        <w:widowControl w:val="0"/>
        <w:spacing w:beforeLines="0" w:afterLines="0" w:line="552" w:lineRule="exact"/>
        <w:ind w:firstLine="640" w:firstLineChars="200"/>
        <w:jc w:val="center"/>
        <w:rPr>
          <w:rFonts w:hint="eastAsia"/>
          <w:color w:val="auto"/>
          <w:sz w:val="32"/>
        </w:rPr>
      </w:pPr>
    </w:p>
    <w:p>
      <w:pPr>
        <w:widowControl w:val="0"/>
        <w:spacing w:beforeLines="0" w:afterLines="0" w:line="552" w:lineRule="exact"/>
        <w:rPr>
          <w:rFonts w:hint="eastAsia"/>
          <w:color w:val="auto"/>
          <w:sz w:val="32"/>
        </w:rPr>
      </w:pPr>
      <w:r>
        <w:rPr>
          <w:rFonts w:hint="eastAsia" w:eastAsia="仿宋_GB2312"/>
          <w:color w:val="auto"/>
          <w:sz w:val="32"/>
        </w:rPr>
        <w:t>各市食品药品监督管理局：</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为了保证药品质量和公众用药安全，维护良好的药品流通秩序，克服低水平重复建设，支持发展药品现代物流，按照国务院和省政府整顿和规范药品市场秩序工作部署及国家食品药品监</w:t>
      </w:r>
      <w:r>
        <w:rPr>
          <w:rFonts w:hint="eastAsia" w:eastAsia="仿宋_GB2312"/>
          <w:color w:val="auto"/>
          <w:spacing w:val="-3"/>
          <w:sz w:val="32"/>
        </w:rPr>
        <w:t>督管理局</w:t>
      </w:r>
      <w:r>
        <w:rPr>
          <w:rFonts w:hint="eastAsia" w:eastAsia="仿宋_GB2312"/>
          <w:color w:val="auto"/>
          <w:spacing w:val="-3"/>
          <w:kern w:val="0"/>
          <w:sz w:val="32"/>
        </w:rPr>
        <w:t>《关于加强药品监督管理促进药品现代物流发展的意见》</w:t>
      </w:r>
      <w:r>
        <w:rPr>
          <w:rFonts w:hint="eastAsia" w:eastAsia="仿宋_GB2312"/>
          <w:color w:val="auto"/>
          <w:kern w:val="0"/>
          <w:sz w:val="32"/>
        </w:rPr>
        <w:t>（国食药监市</w:t>
      </w:r>
      <w:r>
        <w:rPr>
          <w:rFonts w:hint="eastAsia" w:eastAsia="仿宋_GB2312"/>
          <w:color w:val="auto"/>
          <w:sz w:val="32"/>
        </w:rPr>
        <w:t>〔2005〕</w:t>
      </w:r>
      <w:r>
        <w:rPr>
          <w:rFonts w:hint="eastAsia"/>
          <w:color w:val="auto"/>
          <w:kern w:val="0"/>
          <w:sz w:val="32"/>
        </w:rPr>
        <w:t>160</w:t>
      </w:r>
      <w:r>
        <w:rPr>
          <w:rFonts w:hint="eastAsia" w:eastAsia="仿宋_GB2312"/>
          <w:color w:val="auto"/>
          <w:kern w:val="0"/>
          <w:sz w:val="32"/>
        </w:rPr>
        <w:t>号）、</w:t>
      </w:r>
      <w:r>
        <w:rPr>
          <w:rFonts w:hint="eastAsia" w:eastAsia="仿宋_GB2312"/>
          <w:color w:val="auto"/>
          <w:sz w:val="32"/>
        </w:rPr>
        <w:t>《</w:t>
      </w:r>
      <w:r>
        <w:rPr>
          <w:rFonts w:hint="eastAsia" w:eastAsia="仿宋_GB2312"/>
          <w:color w:val="auto"/>
          <w:kern w:val="0"/>
          <w:sz w:val="32"/>
        </w:rPr>
        <w:t>关于加强药品经营许可监督管理工作的通知》</w:t>
      </w:r>
      <w:r>
        <w:rPr>
          <w:rFonts w:hint="eastAsia" w:eastAsia="仿宋_GB2312"/>
          <w:color w:val="auto"/>
          <w:sz w:val="32"/>
        </w:rPr>
        <w:t>（国食药监市〔2005〕240号</w:t>
      </w:r>
      <w:r>
        <w:rPr>
          <w:rFonts w:hint="eastAsia" w:eastAsia="仿宋_GB2312"/>
          <w:color w:val="auto"/>
          <w:kern w:val="0"/>
          <w:sz w:val="32"/>
        </w:rPr>
        <w:t>）</w:t>
      </w:r>
      <w:r>
        <w:rPr>
          <w:rFonts w:hint="eastAsia" w:eastAsia="仿宋_GB2312"/>
          <w:color w:val="auto"/>
          <w:sz w:val="32"/>
        </w:rPr>
        <w:t>要求，现对开办药品批发企业有关问题通知如下，请遵照执行。</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一、新开办药品批发企业应严格执行国家食品药品监督管理局《药品经营许可证管理办法》和《开办药品批发企业验收实施标准（试行）》。企业仓库设置应适应经营范围和经营规模的需要，其中在设区的市中心城区设立批发企业，</w:t>
      </w:r>
      <w:r>
        <w:rPr>
          <w:rFonts w:hint="eastAsia" w:eastAsia="仿宋_GB2312"/>
          <w:color w:val="auto"/>
          <w:kern w:val="0"/>
          <w:sz w:val="32"/>
        </w:rPr>
        <w:t>仓库建筑面积应达到3000平方米以上；在其他县（县级市、区）开办批发企业或</w:t>
      </w:r>
      <w:r>
        <w:rPr>
          <w:rFonts w:hint="eastAsia" w:eastAsia="仿宋_GB2312"/>
          <w:color w:val="auto"/>
          <w:sz w:val="32"/>
        </w:rPr>
        <w:t>批发企业设立的批发分支机构，仓库建筑面积应达到1500平方米以上。</w:t>
      </w:r>
      <w:r>
        <w:rPr>
          <w:rFonts w:hint="eastAsia" w:eastAsia="仿宋_GB2312"/>
          <w:color w:val="auto"/>
          <w:kern w:val="0"/>
          <w:sz w:val="32"/>
        </w:rPr>
        <w:t>其中阴凉库面积不低于总库房面积的50％。库房净高5米以上（二层以上可为4米以上）。冷库容积不低于100立方米。</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专营中药材、中药饮片的仓库面积应达到1000平方米以上；专营生物制品的仓库容积应达到200立方米以上。</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二、在设区的市中心城区设立批发企业，营业场所和办公用</w:t>
      </w:r>
      <w:r>
        <w:rPr>
          <w:rFonts w:hint="eastAsia" w:eastAsia="仿宋_GB2312"/>
          <w:color w:val="auto"/>
          <w:spacing w:val="-5"/>
          <w:sz w:val="32"/>
        </w:rPr>
        <w:t>房面积不低于300平方米，</w:t>
      </w:r>
      <w:r>
        <w:rPr>
          <w:rFonts w:hint="eastAsia" w:eastAsia="仿宋_GB2312"/>
          <w:color w:val="auto"/>
          <w:spacing w:val="-5"/>
          <w:kern w:val="0"/>
          <w:sz w:val="32"/>
        </w:rPr>
        <w:t>在县（县级市、区）开办批发企业或</w:t>
      </w:r>
      <w:r>
        <w:rPr>
          <w:rFonts w:hint="eastAsia" w:eastAsia="仿宋_GB2312"/>
          <w:color w:val="auto"/>
          <w:spacing w:val="-5"/>
          <w:sz w:val="32"/>
        </w:rPr>
        <w:t>批发企业设立的批发分支机构，营业场所和办公用房面积不低于200平方米。居民住宅（含公寓、别墅）不得作为营业和办公场所。</w:t>
      </w:r>
    </w:p>
    <w:p>
      <w:pPr>
        <w:widowControl w:val="0"/>
        <w:spacing w:beforeLines="0" w:afterLines="0" w:line="552" w:lineRule="exact"/>
        <w:ind w:firstLine="640" w:firstLineChars="200"/>
        <w:rPr>
          <w:rFonts w:hint="eastAsia"/>
          <w:color w:val="auto"/>
          <w:kern w:val="0"/>
          <w:sz w:val="32"/>
        </w:rPr>
      </w:pPr>
      <w:r>
        <w:rPr>
          <w:rFonts w:hint="eastAsia" w:eastAsia="仿宋_GB2312"/>
          <w:color w:val="auto"/>
          <w:kern w:val="0"/>
          <w:sz w:val="32"/>
        </w:rPr>
        <w:t>三、企业仓库布局应科学、合理，符合药品储存要求，实现药品入库、传递、分拣、上架、出库自动化或半自动化。</w:t>
      </w:r>
    </w:p>
    <w:p>
      <w:pPr>
        <w:widowControl w:val="0"/>
        <w:spacing w:beforeLines="0" w:afterLines="0" w:line="552" w:lineRule="exact"/>
        <w:ind w:firstLine="640" w:firstLineChars="200"/>
        <w:rPr>
          <w:rFonts w:hint="eastAsia"/>
          <w:color w:val="auto"/>
          <w:kern w:val="0"/>
          <w:sz w:val="32"/>
        </w:rPr>
      </w:pPr>
      <w:r>
        <w:rPr>
          <w:rFonts w:hint="eastAsia" w:eastAsia="仿宋_GB2312"/>
          <w:color w:val="auto"/>
          <w:kern w:val="0"/>
          <w:sz w:val="32"/>
        </w:rPr>
        <w:t>（一）货架系统：配置与经营规模相适应的立体多层货架和</w:t>
      </w:r>
      <w:r>
        <w:rPr>
          <w:rFonts w:hint="eastAsia" w:eastAsia="仿宋_GB2312"/>
          <w:color w:val="auto"/>
          <w:sz w:val="32"/>
        </w:rPr>
        <w:t>零货架</w:t>
      </w:r>
      <w:r>
        <w:rPr>
          <w:rFonts w:hint="eastAsia" w:eastAsia="仿宋_GB2312"/>
          <w:color w:val="auto"/>
          <w:kern w:val="0"/>
          <w:sz w:val="32"/>
        </w:rPr>
        <w:t>，并配有相应的托盘。</w:t>
      </w:r>
      <w:r>
        <w:rPr>
          <w:rFonts w:hint="eastAsia" w:eastAsia="仿宋_GB2312"/>
          <w:color w:val="auto"/>
          <w:sz w:val="32"/>
        </w:rPr>
        <w:t>立体货架仓库（区）占</w:t>
      </w:r>
      <w:r>
        <w:rPr>
          <w:rFonts w:hint="eastAsia" w:eastAsia="仿宋_GB2312"/>
          <w:color w:val="auto"/>
          <w:kern w:val="0"/>
          <w:sz w:val="32"/>
        </w:rPr>
        <w:t>仓库总面积的60%以上</w:t>
      </w:r>
      <w:r>
        <w:rPr>
          <w:rFonts w:hint="eastAsia" w:eastAsia="仿宋_GB2312"/>
          <w:color w:val="auto"/>
          <w:sz w:val="32"/>
        </w:rPr>
        <w:t>。</w:t>
      </w:r>
    </w:p>
    <w:p>
      <w:pPr>
        <w:widowControl w:val="0"/>
        <w:spacing w:beforeLines="0" w:afterLines="0" w:line="552" w:lineRule="exact"/>
        <w:ind w:firstLine="640" w:firstLineChars="200"/>
        <w:rPr>
          <w:rFonts w:hint="eastAsia"/>
          <w:color w:val="auto"/>
          <w:kern w:val="0"/>
          <w:sz w:val="32"/>
        </w:rPr>
      </w:pPr>
      <w:r>
        <w:rPr>
          <w:rFonts w:hint="eastAsia" w:eastAsia="仿宋_GB2312"/>
          <w:color w:val="auto"/>
          <w:kern w:val="0"/>
          <w:sz w:val="32"/>
        </w:rPr>
        <w:t>（二）分拣系统：配置与计算机管理系统相适应的电子标签（DPS）、无线基站、RF手持终端、条码打印设备，具备货位自动识别、自动寻址功能。</w:t>
      </w:r>
    </w:p>
    <w:p>
      <w:pPr>
        <w:widowControl w:val="0"/>
        <w:spacing w:beforeLines="0" w:afterLines="0" w:line="552" w:lineRule="exact"/>
        <w:ind w:firstLine="640" w:firstLineChars="200"/>
        <w:rPr>
          <w:rFonts w:hint="eastAsia"/>
          <w:color w:val="auto"/>
          <w:kern w:val="0"/>
          <w:sz w:val="32"/>
        </w:rPr>
      </w:pPr>
      <w:r>
        <w:rPr>
          <w:rFonts w:hint="eastAsia" w:eastAsia="仿宋_GB2312"/>
          <w:color w:val="auto"/>
          <w:kern w:val="0"/>
          <w:sz w:val="32"/>
        </w:rPr>
        <w:t>（三）传输系统：配置电瓶叉车、输送机或电瓶托盘搬运车，二层以上的仓库应配备输送机或专用货梯。</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专营生物制品、中药材和中药饮片的企业除外。</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四、企业仓库温湿度调控和监测系统必须根据冷库、阴凉库、常温库温湿度要求配备温湿度自动调控和监测设备，并</w:t>
      </w:r>
      <w:r>
        <w:rPr>
          <w:rFonts w:hint="eastAsia" w:eastAsia="仿宋_GB2312"/>
          <w:color w:val="auto"/>
          <w:kern w:val="0"/>
          <w:sz w:val="32"/>
        </w:rPr>
        <w:t>实现</w:t>
      </w:r>
      <w:r>
        <w:rPr>
          <w:rFonts w:hint="eastAsia" w:eastAsia="仿宋_GB2312"/>
          <w:color w:val="auto"/>
          <w:sz w:val="32"/>
        </w:rPr>
        <w:t>与计算机联网。阴凉库应当安装冷风机组或中央空调。</w:t>
      </w:r>
      <w:r>
        <w:rPr>
          <w:rFonts w:hint="eastAsia" w:eastAsia="仿宋_GB2312"/>
          <w:color w:val="auto"/>
          <w:kern w:val="0"/>
          <w:sz w:val="32"/>
        </w:rPr>
        <w:t>实现库房温湿度24小时自动监测、调控、记录和打印温湿度数据，</w:t>
      </w:r>
      <w:r>
        <w:rPr>
          <w:rFonts w:hint="eastAsia" w:eastAsia="仿宋_GB2312"/>
          <w:color w:val="auto"/>
          <w:sz w:val="32"/>
        </w:rPr>
        <w:t>温湿度监测点分布应科学、合理，数据记录保存2年以上。</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五、企业应配备符合</w:t>
      </w:r>
      <w:r>
        <w:rPr>
          <w:rFonts w:hint="eastAsia" w:eastAsia="仿宋_GB2312"/>
          <w:color w:val="auto"/>
          <w:kern w:val="0"/>
          <w:sz w:val="32"/>
        </w:rPr>
        <w:t>药品特性要求</w:t>
      </w:r>
      <w:r>
        <w:rPr>
          <w:rFonts w:hint="eastAsia" w:eastAsia="仿宋_GB2312"/>
          <w:color w:val="auto"/>
          <w:sz w:val="32"/>
        </w:rPr>
        <w:t xml:space="preserve">的专用运输车辆。冷藏运输车辆应符合冷链系统运输条件。 </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六、企业计算机管理系统应</w:t>
      </w:r>
      <w:r>
        <w:rPr>
          <w:rFonts w:hint="eastAsia" w:eastAsia="仿宋_GB2312"/>
          <w:color w:val="auto"/>
          <w:kern w:val="0"/>
          <w:sz w:val="32"/>
        </w:rPr>
        <w:t>能覆盖药品经营管理和仓储物流管理全过程，并</w:t>
      </w:r>
      <w:r>
        <w:rPr>
          <w:rFonts w:hint="eastAsia" w:eastAsia="仿宋_GB2312"/>
          <w:color w:val="auto"/>
          <w:sz w:val="32"/>
        </w:rPr>
        <w:t>与药品监督管理部门建立网络连接，</w:t>
      </w:r>
      <w:r>
        <w:rPr>
          <w:rFonts w:hint="eastAsia" w:eastAsia="仿宋_GB2312"/>
          <w:color w:val="auto"/>
          <w:kern w:val="0"/>
          <w:sz w:val="32"/>
        </w:rPr>
        <w:t>实现药品</w:t>
      </w:r>
      <w:r>
        <w:rPr>
          <w:rFonts w:hint="eastAsia" w:eastAsia="仿宋_GB2312"/>
          <w:color w:val="auto"/>
          <w:sz w:val="32"/>
        </w:rPr>
        <w:t>购进、储存、销售、库房温湿度情况的数据传输。</w:t>
      </w:r>
    </w:p>
    <w:p>
      <w:pPr>
        <w:widowControl w:val="0"/>
        <w:spacing w:beforeLines="0" w:afterLines="0" w:line="552" w:lineRule="exact"/>
        <w:ind w:firstLine="640" w:firstLineChars="200"/>
        <w:rPr>
          <w:rFonts w:hint="eastAsia"/>
          <w:color w:val="auto"/>
          <w:kern w:val="0"/>
          <w:sz w:val="32"/>
        </w:rPr>
      </w:pPr>
      <w:r>
        <w:rPr>
          <w:rFonts w:hint="eastAsia" w:eastAsia="仿宋_GB2312"/>
          <w:color w:val="auto"/>
          <w:sz w:val="32"/>
        </w:rPr>
        <w:t>（一）</w:t>
      </w:r>
      <w:r>
        <w:rPr>
          <w:rFonts w:hint="eastAsia" w:eastAsia="仿宋_GB2312"/>
          <w:color w:val="auto"/>
          <w:kern w:val="0"/>
          <w:sz w:val="32"/>
        </w:rPr>
        <w:t>计算机管理系统应具有稳定安全的计算机网络环境和设备，有固定接入互联网的方式和信息安全平台，包括服务器、备用服务器、主控计算机、有线及无线局域网设备、程序逻辑控制系统、数据存储及备份等设备。</w:t>
      </w:r>
    </w:p>
    <w:p>
      <w:pPr>
        <w:widowControl w:val="0"/>
        <w:spacing w:beforeLines="0" w:afterLines="0" w:line="552" w:lineRule="exact"/>
        <w:ind w:firstLine="640" w:firstLineChars="200"/>
        <w:rPr>
          <w:rFonts w:hint="eastAsia"/>
          <w:color w:val="auto"/>
          <w:sz w:val="32"/>
        </w:rPr>
      </w:pPr>
      <w:r>
        <w:rPr>
          <w:rFonts w:hint="eastAsia" w:eastAsia="仿宋_GB2312"/>
          <w:color w:val="auto"/>
          <w:kern w:val="0"/>
          <w:sz w:val="32"/>
        </w:rPr>
        <w:t>（二）计算机管理系统应具有控制和管理药品入库、分拣、出库等作业指令的信息显示、确认功能，</w:t>
      </w:r>
      <w:r>
        <w:rPr>
          <w:rFonts w:hint="eastAsia" w:eastAsia="仿宋_GB2312"/>
          <w:color w:val="auto"/>
          <w:sz w:val="32"/>
        </w:rPr>
        <w:t>对药品质量状态实施动态管理。</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（三）计算机管理</w:t>
      </w:r>
      <w:r>
        <w:rPr>
          <w:rFonts w:hint="eastAsia" w:eastAsia="仿宋_GB2312"/>
          <w:color w:val="auto"/>
          <w:kern w:val="0"/>
          <w:sz w:val="32"/>
        </w:rPr>
        <w:t>系统必须使用</w:t>
      </w:r>
      <w:r>
        <w:rPr>
          <w:rFonts w:hint="eastAsia" w:eastAsia="仿宋_GB2312"/>
          <w:color w:val="auto"/>
          <w:sz w:val="32"/>
        </w:rPr>
        <w:t>网络版软件，并能兼容电子标签及无线射频系统。</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七、对新开办药品批发企业现场验收时，除符合《开办药品批发企业验收实施标准（试行）》外，应同时符合本通知要求。原有药品批发企业新建、改扩建仓库，变更注册地址</w:t>
      </w:r>
      <w:r>
        <w:rPr>
          <w:rFonts w:hint="eastAsia" w:eastAsia="仿宋_GB2312"/>
          <w:color w:val="auto"/>
          <w:kern w:val="0"/>
          <w:sz w:val="32"/>
        </w:rPr>
        <w:t>等许可事项时，亦</w:t>
      </w:r>
      <w:r>
        <w:rPr>
          <w:rFonts w:hint="eastAsia" w:eastAsia="仿宋_GB2312"/>
          <w:color w:val="auto"/>
          <w:sz w:val="32"/>
        </w:rPr>
        <w:t>按本通知规定执行。</w:t>
      </w:r>
    </w:p>
    <w:p>
      <w:pPr>
        <w:widowControl w:val="0"/>
        <w:spacing w:beforeLines="0" w:afterLines="0" w:line="552" w:lineRule="exact"/>
        <w:ind w:firstLine="640" w:firstLineChars="200"/>
        <w:rPr>
          <w:rFonts w:hint="eastAsia"/>
          <w:color w:val="auto"/>
          <w:sz w:val="32"/>
        </w:rPr>
      </w:pPr>
      <w:r>
        <w:rPr>
          <w:rFonts w:hint="eastAsia" w:eastAsia="仿宋_GB2312"/>
          <w:color w:val="auto"/>
          <w:sz w:val="32"/>
        </w:rPr>
        <w:t>八、此前已取得《药品经营许可证》的批发企业，应制订规划，积极努力，创造条件，逐步达到本通知规定的现代物流条件</w:t>
      </w:r>
      <w:r>
        <w:rPr>
          <w:rFonts w:hint="eastAsia" w:eastAsia="仿宋_GB2312"/>
          <w:color w:val="auto"/>
          <w:spacing w:val="-3"/>
          <w:sz w:val="32"/>
        </w:rPr>
        <w:t>要求。鼓励具有现代物流条件的药品批发企业开展委托配送业务，</w:t>
      </w:r>
      <w:r>
        <w:rPr>
          <w:rFonts w:hint="eastAsia" w:eastAsia="仿宋_GB2312"/>
          <w:color w:val="auto"/>
          <w:sz w:val="32"/>
        </w:rPr>
        <w:t>促进药品流通企业整合。</w:t>
      </w:r>
    </w:p>
    <w:p>
      <w:pPr>
        <w:widowControl w:val="0"/>
        <w:spacing w:beforeLines="0" w:afterLines="0" w:line="552" w:lineRule="exact"/>
        <w:ind w:firstLine="640" w:firstLineChars="200"/>
        <w:rPr>
          <w:rFonts w:hint="eastAsia"/>
          <w:color w:val="auto"/>
          <w:sz w:val="32"/>
        </w:rPr>
      </w:pPr>
    </w:p>
    <w:p>
      <w:pPr>
        <w:widowControl w:val="0"/>
        <w:spacing w:beforeLines="0" w:afterLines="0" w:line="552" w:lineRule="exact"/>
        <w:ind w:firstLine="640" w:firstLineChars="200"/>
        <w:rPr>
          <w:rFonts w:hint="eastAsia"/>
          <w:color w:val="auto"/>
          <w:sz w:val="32"/>
        </w:rPr>
      </w:pPr>
    </w:p>
    <w:p>
      <w:pPr>
        <w:widowControl w:val="0"/>
        <w:wordWrap w:val="0"/>
        <w:spacing w:beforeLines="0" w:afterLines="0" w:line="552" w:lineRule="exact"/>
        <w:jc w:val="right"/>
        <w:rPr>
          <w:rFonts w:hint="eastAsia" w:eastAsia="仿宋_GB2312"/>
          <w:color w:val="auto"/>
          <w:sz w:val="32"/>
          <w:lang w:val="en-US" w:eastAsia="zh-CN"/>
        </w:rPr>
      </w:pPr>
      <w:r>
        <w:rPr>
          <w:rFonts w:hint="eastAsia" w:eastAsia="仿宋_GB2312"/>
          <w:color w:val="auto"/>
          <w:sz w:val="32"/>
        </w:rPr>
        <w:t>山东省食品药品监督管理局</w:t>
      </w:r>
      <w:r>
        <w:rPr>
          <w:rFonts w:hint="eastAsia" w:eastAsia="仿宋_GB2312"/>
          <w:color w:val="auto"/>
          <w:sz w:val="32"/>
          <w:lang w:val="en-US" w:eastAsia="zh-CN"/>
        </w:rPr>
        <w:t xml:space="preserve">    </w:t>
      </w:r>
    </w:p>
    <w:p>
      <w:pPr>
        <w:spacing w:beforeLines="0" w:afterLines="0"/>
        <w:rPr>
          <w:rFonts w:hint="eastAsia"/>
          <w:sz w:val="21"/>
        </w:rPr>
      </w:pPr>
      <w:r>
        <w:rPr>
          <w:rFonts w:hint="eastAsia" w:eastAsia="仿宋_GB2312"/>
          <w:color w:val="auto"/>
          <w:sz w:val="32"/>
        </w:rPr>
        <w:t>二</w:t>
      </w:r>
      <w:r>
        <w:rPr>
          <w:rFonts w:hint="eastAsia" w:ascii="仿宋_GB2312" w:hAnsi="仿宋_GB2312" w:eastAsia="仿宋_GB2312"/>
          <w:color w:val="auto"/>
          <w:sz w:val="32"/>
        </w:rPr>
        <w:t>○○</w:t>
      </w:r>
      <w:r>
        <w:rPr>
          <w:rFonts w:hint="eastAsia" w:eastAsia="仿宋_GB2312"/>
          <w:color w:val="auto"/>
          <w:sz w:val="32"/>
        </w:rPr>
        <w:t>七年三月二十日</w:t>
      </w:r>
      <w:r>
        <w:rPr>
          <w:rFonts w:hint="eastAsia" w:eastAsia="仿宋_GB2312"/>
          <w:color w:val="auto"/>
          <w:sz w:val="32"/>
          <w:lang w:val="en-US" w:eastAsia="zh-CN"/>
        </w:rPr>
        <w:t xml:space="preserve">    </w:t>
      </w:r>
    </w:p>
    <w:sectPr>
      <w:footerReference r:id="rId3" w:type="default"/>
      <w:pgSz w:w="12240" w:h="15840"/>
      <w:pgMar w:top="2007" w:right="1463" w:bottom="1780" w:left="151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beforeLines="0" w:afterLines="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2"/>
                      <w:spacing w:beforeLines="0" w:afterLines="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6B6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kern w:val="2"/>
      <w:sz w:val="21"/>
    </w:rPr>
  </w:style>
  <w:style w:type="character" w:default="1" w:styleId="6">
    <w:name w:val="Default Paragraph Font"/>
    <w:unhideWhenUsed/>
    <w:uiPriority w:val="99"/>
    <w:rPr>
      <w:rFonts w:hint="default"/>
      <w:sz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3">
    <w:name w:val="header"/>
    <w:basedOn w:val="1"/>
    <w:unhideWhenUsed/>
    <w:uiPriority w:val="99"/>
    <w:pPr>
      <w:tabs>
        <w:tab w:val="center" w:pos="4153"/>
        <w:tab w:val="right" w:pos="8306"/>
      </w:tabs>
      <w:snapToGrid w:val="0"/>
      <w:spacing w:beforeLines="0" w:afterLines="0"/>
    </w:pPr>
    <w:rPr>
      <w:rFonts w:hint="eastAsia"/>
      <w:sz w:val="18"/>
    </w:rPr>
  </w:style>
  <w:style w:type="paragraph" w:styleId="4">
    <w:name w:val="Normal (Web)"/>
    <w:basedOn w:val="1"/>
    <w:unhideWhenUsed/>
    <w:qFormat/>
    <w:uiPriority w:val="0"/>
    <w:pPr>
      <w:spacing w:before="100" w:beforeLines="0" w:beforeAutospacing="1" w:after="100" w:afterLines="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2020-12-21T06:48:00Z</dcterms:created>
  <dc:creator>Administrator</dc:creator>
  <cp:lastModifiedBy>Administrator</cp:lastModifiedBy>
  <dcterms:modified xsi:type="dcterms:W3CDTF">2020-12-21T06:48:06Z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