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</w:tabs>
        <w:autoSpaceDE w:val="0"/>
        <w:autoSpaceDN w:val="0"/>
        <w:adjustRightInd w:val="0"/>
        <w:spacing w:line="360" w:lineRule="exact"/>
        <w:outlineLvl w:val="2"/>
        <w:rPr>
          <w:rFonts w:hint="eastAsia" w:ascii="方正黑体简体" w:eastAsia="方正黑体简体"/>
          <w:bCs/>
          <w:color w:val="000000"/>
          <w:sz w:val="28"/>
          <w:szCs w:val="28"/>
        </w:rPr>
      </w:pPr>
      <w:r>
        <w:rPr>
          <w:rFonts w:hint="eastAsia" w:ascii="方正黑体简体" w:eastAsia="方正黑体简体"/>
          <w:bCs/>
          <w:color w:val="000000"/>
          <w:sz w:val="28"/>
          <w:szCs w:val="28"/>
        </w:rPr>
        <w:t>附件2</w:t>
      </w:r>
    </w:p>
    <w:p>
      <w:pPr>
        <w:spacing w:line="500" w:lineRule="exact"/>
        <w:rPr>
          <w:rFonts w:hint="eastAsia" w:ascii="方正黑体简体" w:eastAsia="方正黑体简体"/>
          <w:bCs/>
          <w:color w:val="000000"/>
          <w:sz w:val="28"/>
          <w:szCs w:val="28"/>
        </w:rPr>
      </w:pPr>
    </w:p>
    <w:p>
      <w:pPr>
        <w:jc w:val="center"/>
        <w:rPr>
          <w:rFonts w:hint="eastAsia" w:ascii="方正小标宋简体" w:hAnsi="华文中宋" w:eastAsia="方正小标宋简体" w:cs="华文中宋"/>
          <w:color w:val="000000"/>
          <w:sz w:val="36"/>
          <w:szCs w:val="36"/>
        </w:rPr>
      </w:pPr>
      <w:bookmarkStart w:id="1" w:name="_GoBack"/>
      <w:r>
        <w:rPr>
          <w:rFonts w:hint="eastAsia" w:ascii="方正小标宋简体" w:hAnsi="华文中宋" w:eastAsia="方正小标宋简体" w:cs="华文中宋"/>
          <w:color w:val="000000"/>
          <w:sz w:val="36"/>
          <w:szCs w:val="36"/>
        </w:rPr>
        <w:t>信息化追溯工作推进计划</w:t>
      </w:r>
    </w:p>
    <w:bookmarkEnd w:id="1"/>
    <w:p>
      <w:pPr>
        <w:jc w:val="center"/>
        <w:rPr>
          <w:rFonts w:ascii="方正小标宋简体" w:eastAsia="方正小标宋简体"/>
          <w:b/>
          <w:bCs/>
          <w:color w:val="000000"/>
          <w:sz w:val="28"/>
          <w:szCs w:val="28"/>
        </w:rPr>
      </w:pPr>
    </w:p>
    <w:tbl>
      <w:tblPr>
        <w:tblStyle w:val="4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521"/>
        <w:gridCol w:w="3521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kern w:val="0"/>
                <w:sz w:val="24"/>
                <w:szCs w:val="21"/>
              </w:rPr>
              <w:t>工作任务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kern w:val="0"/>
                <w:sz w:val="24"/>
                <w:szCs w:val="21"/>
              </w:rPr>
              <w:t>时间节点</w:t>
            </w:r>
          </w:p>
        </w:tc>
        <w:tc>
          <w:tcPr>
            <w:tcW w:w="35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kern w:val="0"/>
                <w:sz w:val="24"/>
                <w:szCs w:val="21"/>
              </w:rPr>
              <w:t>备注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黑体简体" w:eastAsia="方正黑体简体"/>
                <w:color w:val="000000"/>
                <w:kern w:val="0"/>
                <w:sz w:val="24"/>
                <w:szCs w:val="21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49" w:type="dxa"/>
            <w:shd w:val="clear" w:color="auto" w:fill="auto"/>
            <w:vAlign w:val="center"/>
          </w:tcPr>
          <w:p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bookmarkStart w:id="0" w:name="_Hlk55059285"/>
            <w:r>
              <w:rPr>
                <w:color w:val="000000"/>
                <w:kern w:val="0"/>
                <w:sz w:val="21"/>
                <w:szCs w:val="21"/>
              </w:rPr>
              <w:t>监管人员在平台注册。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11月6日前</w:t>
            </w:r>
          </w:p>
        </w:tc>
        <w:tc>
          <w:tcPr>
            <w:tcW w:w="3521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将监管人员信息提交到追溯平台进行权限分配。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各级市场监管部门，追溯平台技术方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49" w:type="dxa"/>
            <w:shd w:val="clear" w:color="auto" w:fill="auto"/>
            <w:vAlign w:val="center"/>
          </w:tcPr>
          <w:p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汇总梳理进口冻品品项信息。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11月10日前</w:t>
            </w:r>
          </w:p>
        </w:tc>
        <w:tc>
          <w:tcPr>
            <w:tcW w:w="3521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收集现有进口冻品品项信息，提交到品码数据中心进行相关品码预置管理。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省市场监管局、成都海关、追溯平台技术方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49" w:type="dxa"/>
            <w:shd w:val="clear" w:color="auto" w:fill="auto"/>
            <w:vAlign w:val="center"/>
          </w:tcPr>
          <w:p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四川口岸进口商主体信息上平台。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11月20日前</w:t>
            </w:r>
          </w:p>
        </w:tc>
        <w:tc>
          <w:tcPr>
            <w:tcW w:w="3521" w:type="dxa"/>
            <w:shd w:val="clear" w:color="auto" w:fill="auto"/>
            <w:vAlign w:val="center"/>
          </w:tcPr>
          <w:p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将四川口岸进口商主体信息提交到追溯平台进行预置管理，生产经营者在平台完成登记，同步推行冷链食品数据上传平台。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省市场监管局、成都海关、追溯平台技术方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49" w:type="dxa"/>
            <w:shd w:val="clear" w:color="auto" w:fill="auto"/>
            <w:vAlign w:val="center"/>
          </w:tcPr>
          <w:p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进口冷链食品经营入川首站企业上平台注册。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11月30日前</w:t>
            </w:r>
          </w:p>
        </w:tc>
        <w:tc>
          <w:tcPr>
            <w:tcW w:w="3521" w:type="dxa"/>
            <w:shd w:val="clear" w:color="auto" w:fill="auto"/>
            <w:vAlign w:val="center"/>
          </w:tcPr>
          <w:p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摸排、组织进口冷链食品经营入川首站企业在平台登记，同步推行冷链食品上传平台。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各级市场监管部门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49" w:type="dxa"/>
            <w:shd w:val="clear" w:color="auto" w:fill="auto"/>
            <w:vAlign w:val="center"/>
          </w:tcPr>
          <w:p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完成非食品生产经营者备案、食品批发企业注册；进口冷链食品贮存业务数据上平台。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11月30日前</w:t>
            </w:r>
          </w:p>
        </w:tc>
        <w:tc>
          <w:tcPr>
            <w:tcW w:w="3521" w:type="dxa"/>
            <w:shd w:val="clear" w:color="auto" w:fill="auto"/>
            <w:vAlign w:val="center"/>
          </w:tcPr>
          <w:p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组织从事冷链食品贮存业务的非食品生产经营者、批发企业在平台备案、登记；组织进口冷链食品经营者、贮存业务委托方、受托方将相关信息在平台登记。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各级市场监管、商务部门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49" w:type="dxa"/>
            <w:shd w:val="clear" w:color="auto" w:fill="auto"/>
            <w:vAlign w:val="center"/>
          </w:tcPr>
          <w:p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完成其他冷链食品生产经营者上平台。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12月30日</w:t>
            </w:r>
          </w:p>
        </w:tc>
        <w:tc>
          <w:tcPr>
            <w:tcW w:w="3521" w:type="dxa"/>
            <w:shd w:val="clear" w:color="auto" w:fill="auto"/>
            <w:vAlign w:val="center"/>
          </w:tcPr>
          <w:p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基本完成全域冷链食品生产经营者在平台登记，基本建立冷链食品追溯机制。</w:t>
            </w:r>
          </w:p>
        </w:tc>
        <w:tc>
          <w:tcPr>
            <w:tcW w:w="2082" w:type="dxa"/>
            <w:shd w:val="clear" w:color="auto" w:fill="auto"/>
            <w:vAlign w:val="center"/>
          </w:tcPr>
          <w:p>
            <w:pPr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各级市场监管、农业农村、商务等部门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4"/>
        <w:szCs w:val="24"/>
      </w:rPr>
    </w:pPr>
    <w:r>
      <w:rPr>
        <w:rFonts w:ascii="宋体" w:hAnsi="宋体" w:eastAsia="宋体"/>
        <w:sz w:val="24"/>
        <w:szCs w:val="24"/>
      </w:rPr>
      <w:fldChar w:fldCharType="begin"/>
    </w:r>
    <w:r>
      <w:rPr>
        <w:rFonts w:ascii="宋体" w:hAnsi="宋体" w:eastAsia="宋体"/>
        <w:sz w:val="24"/>
        <w:szCs w:val="24"/>
      </w:rPr>
      <w:instrText xml:space="preserve">PAGE   \* MERGEFORMAT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Fonts w:ascii="宋体" w:hAnsi="宋体" w:eastAsia="宋体"/>
        <w:sz w:val="24"/>
        <w:szCs w:val="24"/>
        <w:lang w:val="zh-CN"/>
      </w:rPr>
      <w:t>-</w:t>
    </w:r>
    <w:r>
      <w:rPr>
        <w:rFonts w:ascii="宋体" w:hAnsi="宋体" w:eastAsia="宋体"/>
        <w:sz w:val="24"/>
        <w:szCs w:val="24"/>
      </w:rPr>
      <w:t xml:space="preserve"> 5 -</w:t>
    </w:r>
    <w:r>
      <w:rPr>
        <w:rFonts w:ascii="宋体" w:hAnsi="宋体" w:eastAsia="宋体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15066"/>
    <w:rsid w:val="58D1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2020-11-05T07:07:00Z</dcterms:created>
  <dc:creator>admin</dc:creator>
  <cp:lastModifiedBy>admin</cp:lastModifiedBy>
  <dcterms:modified xsi:type="dcterms:W3CDTF">2020-11-05T07:07:39Z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