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spacing w:line="720" w:lineRule="exact"/>
        <w:rPr>
          <w:rFonts w:ascii="仿宋_GB2312" w:eastAsia="仿宋_GB2312"/>
        </w:rPr>
      </w:pPr>
    </w:p>
    <w:p>
      <w:pPr>
        <w:tabs>
          <w:tab w:val="left" w:pos="7740"/>
        </w:tabs>
        <w:spacing w:line="720" w:lineRule="exact"/>
        <w:rPr>
          <w:rFonts w:ascii="仿宋_GB2312" w:eastAsia="仿宋_GB2312"/>
        </w:rPr>
      </w:pP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spacing w:line="520" w:lineRule="exact"/>
        <w:jc w:val="center"/>
        <w:outlineLvl w:val="0"/>
        <w:rPr>
          <w:rFonts w:ascii="仿宋_GB2312" w:eastAsia="仿宋_GB2312"/>
        </w:rPr>
      </w:pPr>
    </w:p>
    <w:p>
      <w:pPr>
        <w:tabs>
          <w:tab w:val="left" w:pos="7740"/>
        </w:tabs>
        <w:spacing w:line="520" w:lineRule="exact"/>
        <w:jc w:val="center"/>
        <w:outlineLvl w:val="0"/>
        <w:rPr>
          <w:rFonts w:ascii="仿宋_GB2312" w:eastAsia="仿宋_GB2312"/>
        </w:rPr>
      </w:pPr>
    </w:p>
    <w:p>
      <w:pPr>
        <w:tabs>
          <w:tab w:val="left" w:pos="7740"/>
        </w:tabs>
        <w:jc w:val="center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新农办科〔2018〕42号</w:t>
      </w: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tabs>
          <w:tab w:val="left" w:pos="7740"/>
        </w:tabs>
        <w:rPr>
          <w:rFonts w:ascii="仿宋_GB2312" w:eastAsia="仿宋_GB2312"/>
        </w:rPr>
      </w:pPr>
    </w:p>
    <w:p>
      <w:pPr>
        <w:pStyle w:val="2"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关于印发2018年自治区农业转基因生物监管工作的通知</w:t>
      </w:r>
    </w:p>
    <w:p>
      <w:pPr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伊犁哈萨克自治州农业局、各地州市农业局，自治区农机局，新疆农业职业技术学院，厅机关各处室、各直属事业单位：</w:t>
      </w:r>
    </w:p>
    <w:p>
      <w:pPr>
        <w:ind w:firstLine="64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为切实做好农业转基因监管工作，确保农业转基因生物研究、试验、生产、经营、进口和加工等活动规范有序，按照《农业转基因生物安全管理条例》和</w:t>
      </w:r>
      <w:r>
        <w:rPr>
          <w:rFonts w:hint="eastAsia" w:ascii="仿宋_GB2312" w:hAnsi="仿宋_GB2312" w:eastAsia="仿宋_GB2312" w:cs="仿宋_GB2312"/>
        </w:rPr>
        <w:t>《农业部办公厅关于印发2018年农业转基因监管工作方案的通知》（农办科〔2018〕2号）</w:t>
      </w:r>
      <w:r>
        <w:rPr>
          <w:rFonts w:hint="eastAsia" w:ascii="仿宋_GB2312" w:hAnsi="仿宋_GB2312" w:eastAsia="仿宋_GB2312" w:cs="仿宋_GB2312"/>
          <w:bCs/>
        </w:rPr>
        <w:t>，现将2018年自治区农业转基因监管工作通知如下。</w:t>
      </w:r>
    </w:p>
    <w:p>
      <w:pPr>
        <w:ind w:firstLine="640"/>
        <w:rPr>
          <w:rFonts w:ascii="仿宋_GB2312" w:hAnsi="仿宋_GB2312" w:eastAsia="仿宋_GB2312" w:cs="仿宋_GB2312"/>
          <w:bCs/>
        </w:rPr>
      </w:pPr>
    </w:p>
    <w:p>
      <w:pPr>
        <w:ind w:left="1280" w:leftChars="200" w:hanging="640" w:hangingChars="20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附件：《2018年自治区农业转基因监管工作方案》</w:t>
      </w:r>
    </w:p>
    <w:p>
      <w:pPr>
        <w:ind w:firstLine="640"/>
        <w:rPr>
          <w:rFonts w:ascii="仿宋_GB2312" w:hAnsi="仿宋_GB2312" w:eastAsia="仿宋_GB2312" w:cs="仿宋_GB2312"/>
          <w:bCs/>
        </w:rPr>
      </w:pPr>
    </w:p>
    <w:p>
      <w:pPr>
        <w:ind w:firstLine="640"/>
        <w:rPr>
          <w:rFonts w:ascii="仿宋_GB2312" w:hAnsi="仿宋_GB2312" w:eastAsia="仿宋_GB2312" w:cs="仿宋_GB2312"/>
          <w:bCs/>
        </w:rPr>
      </w:pPr>
    </w:p>
    <w:p>
      <w:pPr>
        <w:ind w:firstLine="64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 xml:space="preserve">                    自治区农业厅办公室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bCs/>
        </w:rPr>
        <w:t xml:space="preserve">                      2018年3月15日</w:t>
      </w: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rPr>
          <w:b w:val="0"/>
          <w:bCs w:val="0"/>
          <w:kern w:val="2"/>
          <w:sz w:val="32"/>
          <w:szCs w:val="32"/>
        </w:rPr>
      </w:pPr>
    </w:p>
    <w:p/>
    <w:p>
      <w:pPr>
        <w:pStyle w:val="2"/>
        <w:spacing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pStyle w:val="2"/>
        <w:spacing w:line="560" w:lineRule="exact"/>
        <w:ind w:left="640" w:leftChars="200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2018年自治区农业转基因监管工作方案</w:t>
      </w:r>
    </w:p>
    <w:p>
      <w:pPr>
        <w:spacing w:line="560" w:lineRule="exact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为做好我区2018年农业转基因生物安全监管工作，促进农业转基因健康发展，根据《农业部办公厅关于印发2018年农业转基因监管工作方案的通知》（农办科〔2018〕2号）的要求，现制定本方案。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总体要求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深入贯彻党中央、国务院的决策部署，认真落实“研究上要大胆，坚持自主创新；推广上要慎重，稳步推进产业化；管理上要严格，坚持依法监管”的总要求，严格按照“属地管理、部门协调、检打联动”的原则，有效提升我区转基因监管能力和水平，加强宣传和引导，严厉打击农业转基因生物非法试验、制种、销售、种植、加工等行为，保障我区农业转基因生物产业健康发展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加强领导与协调，明确分工压实责任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级农业行政主管部门对农业转基因工作负主体责任，要指定机构和专人负责此项工作，并负责收集整理本地各县市农业转基因信息，每月底向农业厅转基因领导小组办公室（科教处）报送本月转基因工作情况。农业厅各有关部门每月底向农业厅转基因领导小组办公室（科教处）报送本月转基因工作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1.加强研发者实验过程的监管。牵头单位：农业厅厅科教处。协作单位：厅法规处、种子站、南繁办，承担农业转基因相关试验研发任务课题的研究单位所在地州、县市农业局。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2.加强种子生产、加工、经营环节监管。牵头单位：自治区种子站。协作单位：厅法规处、科教处、质监处、南繁办、哈检站；各地州、县市农业局。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3.抓好转基因进口加工生产环节监管。牵头单位：厅科教处。协作单位：厅加工处、产业化处、市场处、质监处；有农业转基因产品加工企业的地州、县市农业局。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4.农业转基因非法案件查处。牵头单位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厅法规处（综合执法大队）。协助单位：厅科教处、质监处、加工处、种子站、南繁办、哈检站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各地州、县市农业局。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5.应急预案制定，信息舆论管控。牵头单位：厅科教处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协作单位:厅办公室、信息中心、法规处、质监处、加工处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各地州、县市农业局。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6.管理人员培训与农业转基因科普教育和法律宣传。</w:t>
      </w:r>
      <w:r>
        <w:rPr>
          <w:rFonts w:hint="eastAsia" w:ascii="仿宋_GB2312" w:hAnsi="仿宋_GB2312" w:eastAsia="仿宋_GB2312" w:cs="仿宋_GB2312"/>
          <w:lang w:eastAsia="zh-CN"/>
        </w:rPr>
        <w:t>牵头单位：</w:t>
      </w:r>
      <w:r>
        <w:rPr>
          <w:rFonts w:hint="eastAsia" w:ascii="仿宋_GB2312" w:hAnsi="仿宋_GB2312" w:eastAsia="仿宋_GB2312" w:cs="仿宋_GB2312"/>
        </w:rPr>
        <w:t>厅科教处。协作单位：新疆农业职业技术学院、厅法规处、质</w:t>
      </w:r>
      <w:r>
        <w:rPr>
          <w:rFonts w:hint="eastAsia" w:ascii="仿宋_GB2312" w:hAnsi="仿宋_GB2312" w:eastAsia="仿宋_GB2312" w:cs="仿宋_GB2312"/>
          <w:lang w:eastAsia="zh-CN"/>
        </w:rPr>
        <w:t>监</w:t>
      </w:r>
      <w:r>
        <w:rPr>
          <w:rFonts w:hint="eastAsia" w:ascii="仿宋_GB2312" w:hAnsi="仿宋_GB2312" w:eastAsia="仿宋_GB2312" w:cs="仿宋_GB2312"/>
        </w:rPr>
        <w:t>处、加工处、种子站、农广校、南繁办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各地州、县市农业局。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三、加强重点环节监管任务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1.加强研发者试验过程的监管</w:t>
      </w:r>
      <w:r>
        <w:rPr>
          <w:rFonts w:hint="eastAsia" w:ascii="仿宋_GB2312" w:hAnsi="仿宋_GB2312" w:eastAsia="仿宋_GB2312" w:cs="仿宋_GB2312"/>
        </w:rPr>
        <w:t>。督促转基因研发单位和研发人员落实第一责任人的职责，健全管理制度，强化对科教单位和种子企业育种活动的督查，严防育种材料非法扩散。对我区涉农科研育种单位试验基地要开展抽检和排查，掌握转基因作物试验情况。严查转基因研发试验事项的审批、报告；研发过程是否规范并登记；研发活动安全监控措施是否落实。对已获批开展转基因试验单位要实行全覆盖检查，试验前检查监控措施和制度建设情况，试验中检查安全隔离等措施落实情况，试验后检查残余物和收货物处理、保存情况和试验档案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2.加强种子生产、加工、经营环节监管。</w:t>
      </w:r>
      <w:r>
        <w:rPr>
          <w:rFonts w:hint="eastAsia" w:ascii="仿宋_GB2312" w:hAnsi="仿宋_GB2312" w:eastAsia="仿宋_GB2312" w:cs="仿宋_GB2312"/>
        </w:rPr>
        <w:t>要督促种子企业和制种单位执行种子生产转基因检验制度，签订《种子生产经营单位农业转基因生物安全承诺书》。充分利用试纸条等快速监测方法，对我区制种基地进行抽样检查，严防转基因玉米、水稻等种子冒充非转基因种子生产，切实把好种子入市的源头关；以主产区和曾发生过非法转基因制种的地区为重点，加强对种子储存场所和经验门店</w:t>
      </w:r>
      <w:r>
        <w:rPr>
          <w:rFonts w:hint="eastAsia" w:ascii="仿宋_GB2312" w:hAnsi="仿宋_GB2312" w:eastAsia="仿宋_GB2312" w:cs="仿宋_GB2312"/>
          <w:lang w:eastAsia="zh-CN"/>
        </w:rPr>
        <w:t>的</w:t>
      </w:r>
      <w:r>
        <w:rPr>
          <w:rFonts w:hint="eastAsia" w:ascii="仿宋_GB2312" w:hAnsi="仿宋_GB2312" w:eastAsia="仿宋_GB2312" w:cs="仿宋_GB2312"/>
        </w:rPr>
        <w:t>种子抽查，做到早发现早处理。对种子企业和制种基地的品种进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行抽样检查，严查转基因种子非法生产；加强对种子销售商和农民的宣传教育。对种子市场和经营门店开展转基因成分抽检，严查转基因种子非法销售。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3.抓好转基因进口加工生产环节监管。</w:t>
      </w:r>
      <w:r>
        <w:rPr>
          <w:rFonts w:hint="eastAsia" w:ascii="仿宋_GB2312" w:hAnsi="仿宋_GB2312" w:eastAsia="仿宋_GB2312" w:cs="仿宋_GB2312"/>
        </w:rPr>
        <w:t>严格落实转基因生物进口和加工许可制度，严查我区进口加工企业的安全控制措施、档案记录和标识管理。重点核查装卸、储藏、运输、加工过程中安全控制措施落实情况，开展抽样检测，确保进口转基因生物全部用于原料加工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4.加强南繁基地监管。</w:t>
      </w:r>
      <w:r>
        <w:rPr>
          <w:rFonts w:hint="eastAsia" w:ascii="仿宋_GB2312" w:hAnsi="仿宋_GB2312" w:eastAsia="仿宋_GB2312" w:cs="仿宋_GB2312"/>
        </w:rPr>
        <w:t>严格南繁基地转基因试验报告与审批制度。开展全覆盖检测，严查私自开展农业转基因生物试验和育繁种行为。推进生物育种专区建设，加强农业转基因生物试验基地管理，逐步将转基因南繁试验纳入专区管理。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5.抓好应急预案处理。</w:t>
      </w:r>
      <w:r>
        <w:rPr>
          <w:rFonts w:hint="eastAsia" w:ascii="仿宋_GB2312" w:hAnsi="仿宋_GB2312" w:eastAsia="仿宋_GB2312" w:cs="仿宋_GB2312"/>
        </w:rPr>
        <w:t>各级农业部门要制定农业转基因应急预案，要有专门部门、专门人员管理应急事务，防患于未然，平日要演练紧急情况发生后的科学应对和安全处理，提升应急情况发生科学处理的能力和水平，减少损失和负面影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四、强化属地管理，落实主体责任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1.按照转基因管理条例，落实各级农业部门属地管理责任，督促各级农业部门做好执法普法工作。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加强对本地区农业转基因非法制种环节、转基因农产品加工环节、转基因研究、试验环节的监管，按照“属地管理、部门协调、检打联动”的原则，要求公检法全面介入，对违法分子，严厉打击，以起到震慑作用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3.及时对农民开展教育和科普宣传，从根源上避免非法种植等现象发生。抓好每年农忙和农闲两个时期，积极宣传引导，对于违法种植转基因作物的现象，做好公布查处情况，教育农民、安定人心。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五、加强科普宣传与培训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按照中央的统一部署，把农业转基因宣传引导作为长期性的工作，利用全国科普日等时间节点，深入宣传科学知识，积极转发中央媒体关于热点难点的解答，宣传发展农业转基因的重要意义。利用印发宣传手册、开展宣讲团等方式，组织农业转基因知识进校园、进党校、进机关、进社区、进乡村活动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采取多种措施，积极应对转基因舆情，强化对各类媒体和传播平台的管理，积极组织农业相关部门及时搜集转基因舆情信息，并予以公布。继续开展业内培训，组织专家对各级农业行政主管部门干部、农技人员、职业农民开展转基因授课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组织专家形成宣讲团开展转基因宣传要五进活动，即进校园、进党校、进机关、进社区、进乡村活动。通过课堂上授课、发放印制的宣传手册及光盘等方式，不断形成良好的宣传氛围。利用我区农广校远程教育平台，组织专家对各级农业行政主管部门干部、农技人员、职业农民开展转基因授课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4.翻译、编制、发放转基因双语宣传手册。鉴于我区实际情况，少数民族干部和农民比例高，编制一部分农业转基因双语手册，使得基层少数民族干部和农民收益。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5.追踪1-2期转基因执法案例进行专题报道。特别是围绕“非法制种”问题，会同种子站、信息、媒体部门推出一组典型报道或专题片，正面宣传引导，促进我区农业转基因技术和产业健康发展。</w:t>
      </w:r>
    </w:p>
    <w:p>
      <w:pPr>
        <w:ind w:firstLine="660"/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8305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4F35"/>
    <w:multiLevelType w:val="singleLevel"/>
    <w:tmpl w:val="59E04F3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77680D"/>
    <w:rsid w:val="0019270B"/>
    <w:rsid w:val="001C65DF"/>
    <w:rsid w:val="001D4AF5"/>
    <w:rsid w:val="001F1FE3"/>
    <w:rsid w:val="002225C0"/>
    <w:rsid w:val="002D5531"/>
    <w:rsid w:val="00354EEF"/>
    <w:rsid w:val="0038107A"/>
    <w:rsid w:val="0039473D"/>
    <w:rsid w:val="0041724A"/>
    <w:rsid w:val="004A6767"/>
    <w:rsid w:val="00504A8E"/>
    <w:rsid w:val="00520808"/>
    <w:rsid w:val="0056251E"/>
    <w:rsid w:val="00593934"/>
    <w:rsid w:val="005F3EFA"/>
    <w:rsid w:val="00615E7D"/>
    <w:rsid w:val="006172A2"/>
    <w:rsid w:val="00650DC0"/>
    <w:rsid w:val="00680A17"/>
    <w:rsid w:val="006A166B"/>
    <w:rsid w:val="006C472E"/>
    <w:rsid w:val="006D641B"/>
    <w:rsid w:val="00704B84"/>
    <w:rsid w:val="0074198E"/>
    <w:rsid w:val="00781784"/>
    <w:rsid w:val="007F7738"/>
    <w:rsid w:val="00852721"/>
    <w:rsid w:val="00896C70"/>
    <w:rsid w:val="008F1B60"/>
    <w:rsid w:val="00933406"/>
    <w:rsid w:val="0095006E"/>
    <w:rsid w:val="009B3892"/>
    <w:rsid w:val="009B4E0A"/>
    <w:rsid w:val="009B62AF"/>
    <w:rsid w:val="009E79A0"/>
    <w:rsid w:val="009F57A6"/>
    <w:rsid w:val="00A258DA"/>
    <w:rsid w:val="00BB1720"/>
    <w:rsid w:val="00C60FAB"/>
    <w:rsid w:val="00C654E4"/>
    <w:rsid w:val="00CB0AD6"/>
    <w:rsid w:val="00CB0B6F"/>
    <w:rsid w:val="00CF3D14"/>
    <w:rsid w:val="00D257B5"/>
    <w:rsid w:val="00DE4B47"/>
    <w:rsid w:val="00E131F7"/>
    <w:rsid w:val="00E24350"/>
    <w:rsid w:val="00E600F1"/>
    <w:rsid w:val="00E61B30"/>
    <w:rsid w:val="00E96EBA"/>
    <w:rsid w:val="00EC70E9"/>
    <w:rsid w:val="00F90F78"/>
    <w:rsid w:val="00FA0A61"/>
    <w:rsid w:val="0E894638"/>
    <w:rsid w:val="14CC66D8"/>
    <w:rsid w:val="1577680D"/>
    <w:rsid w:val="2C13371C"/>
    <w:rsid w:val="554C2DB7"/>
    <w:rsid w:val="57B52B7A"/>
    <w:rsid w:val="5C25787C"/>
    <w:rsid w:val="601260FE"/>
    <w:rsid w:val="61ED20B8"/>
    <w:rsid w:val="7A6951B6"/>
    <w:rsid w:val="7C8B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cs="Calibri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432</Words>
  <Characters>2468</Characters>
  <Lines>20</Lines>
  <Paragraphs>5</Paragraphs>
  <TotalTime>0</TotalTime>
  <ScaleCrop>false</ScaleCrop>
  <LinksUpToDate>false</LinksUpToDate>
  <CharactersWithSpaces>2895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2018-03-15T03:06:00Z</dcterms:created>
  <dc:creator>Administrator</dc:creator>
  <cp:lastModifiedBy>Administrator</cp:lastModifiedBy>
  <cp:lastPrinted>2018-03-15T03:05:00Z</cp:lastPrinted>
  <dcterms:modified xsi:type="dcterms:W3CDTF">2018-03-20T10:24:55Z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