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napToGrid w:val="0"/>
        <w:spacing w:line="560" w:lineRule="exact"/>
        <w:jc w:val="left"/>
        <w:rPr>
          <w:szCs w:val="2"/>
        </w:rPr>
      </w:pPr>
      <w:r>
        <w:rPr>
          <w:rFonts w:eastAsia="方正黑体_GBK" w:hint="eastAsia"/>
          <w:kern w:val="0"/>
          <w:szCs w:val="32"/>
        </w:rPr>
        <w:t>附件</w:t>
      </w:r>
    </w:p>
    <w:p>
      <w:pPr>
        <w:spacing w:line="560" w:lineRule="exact"/>
        <w:ind w:firstLineChars="200" w:firstLine="632"/>
      </w:pPr>
    </w:p>
    <w:p>
      <w:pPr>
        <w:snapToGrid w:val="0"/>
        <w:spacing w:line="295" w:lineRule="auto"/>
        <w:jc w:val="center"/>
        <w:rPr>
          <w:rFonts w:ascii="方正小标宋_GBK" w:eastAsia="方正小标宋_GBK"/>
          <w:sz w:val="44"/>
          <w:szCs w:val="44"/>
        </w:rPr>
      </w:pPr>
      <w:r>
        <w:rPr>
          <w:rFonts w:ascii="方正小标宋_GBK" w:eastAsia="方正小标宋_GBK" w:hint="eastAsia"/>
          <w:sz w:val="44"/>
          <w:szCs w:val="44"/>
        </w:rPr>
        <w:t>进口捷克配合饲料检疫</w:t>
      </w:r>
      <w:r>
        <w:rPr>
          <w:rFonts w:ascii="方正小标宋_GBK" w:eastAsia="方正小标宋_GBK"/>
          <w:sz w:val="44"/>
          <w:szCs w:val="44"/>
        </w:rPr>
        <w:t>和卫生</w:t>
      </w:r>
      <w:r>
        <w:rPr>
          <w:rFonts w:ascii="方正小标宋_GBK" w:eastAsia="方正小标宋_GBK" w:hint="eastAsia"/>
          <w:sz w:val="44"/>
          <w:szCs w:val="44"/>
        </w:rPr>
        <w:t>要求</w:t>
      </w:r>
    </w:p>
    <w:p>
      <w:pPr>
        <w:snapToGrid w:val="0"/>
        <w:spacing w:line="295" w:lineRule="auto"/>
        <w:jc w:val="center"/>
        <w:rPr>
          <w:szCs w:val="2"/>
        </w:rPr>
      </w:pPr>
    </w:p>
    <w:p>
      <w:pPr>
        <w:widowControl/>
        <w:spacing w:line="540" w:lineRule="exact"/>
        <w:ind w:firstLineChars="200" w:firstLine="616"/>
        <w:jc w:val="left"/>
        <w:rPr>
          <w:rFonts w:ascii="方正黑体_GBK" w:eastAsia="方正黑体_GBK"/>
          <w:spacing w:val="-4"/>
          <w:szCs w:val="2"/>
        </w:rPr>
      </w:pPr>
      <w:r>
        <w:rPr>
          <w:rFonts w:ascii="方正黑体_GBK" w:eastAsia="方正黑体_GBK" w:hint="eastAsia"/>
          <w:spacing w:val="-4"/>
          <w:szCs w:val="2"/>
        </w:rPr>
        <w:t xml:space="preserve">一、检验检疫依据 </w:t>
      </w:r>
    </w:p>
    <w:p>
      <w:pPr>
        <w:snapToGrid w:val="0"/>
        <w:spacing w:line="540" w:lineRule="exact"/>
        <w:ind w:firstLineChars="200" w:firstLine="616"/>
        <w:jc w:val="left"/>
        <w:rPr>
          <w:spacing w:val="-4"/>
        </w:rPr>
      </w:pPr>
      <w:r>
        <w:rPr>
          <w:spacing w:val="-4"/>
        </w:rPr>
        <w:t>（一）《中华人民共和国进出境动植物检疫法》《中华人民共和国进出境动植物检疫法实施条例》；</w:t>
      </w:r>
    </w:p>
    <w:p>
      <w:pPr>
        <w:pStyle w:val="77"/>
        <w:snapToGrid w:val="0"/>
        <w:spacing w:line="560" w:lineRule="exact"/>
        <w:ind w:firstLineChars="200" w:firstLine="616"/>
        <w:jc w:val="left"/>
        <w:rPr>
          <w:spacing w:val="-4"/>
        </w:rPr>
      </w:pPr>
      <w:r>
        <w:rPr>
          <w:spacing w:val="-4"/>
        </w:rPr>
        <w:t>（二）《饲料和饲料添加剂管理条例》；</w:t>
      </w:r>
    </w:p>
    <w:p>
      <w:pPr>
        <w:pStyle w:val="78"/>
        <w:spacing w:line="560" w:lineRule="exact"/>
        <w:ind w:firstLineChars="200" w:firstLine="632"/>
        <w:rPr>
          <w:rFonts w:eastAsia="方正仿宋_GBK"/>
          <w:sz w:val="32"/>
          <w:szCs w:val="32"/>
        </w:rPr>
      </w:pPr>
      <w:r>
        <w:rPr>
          <w:rFonts w:eastAsia="方正仿宋_GBK"/>
          <w:sz w:val="32"/>
          <w:szCs w:val="32"/>
        </w:rPr>
        <w:t>（三）《农业转基因生物安全管理条例》；</w:t>
      </w:r>
    </w:p>
    <w:p>
      <w:pPr>
        <w:pStyle w:val="78"/>
        <w:spacing w:line="560" w:lineRule="exact"/>
        <w:ind w:left="0" w:firstLineChars="200" w:firstLine="632"/>
        <w:rPr>
          <w:rFonts w:eastAsia="方正仿宋_GBK"/>
          <w:sz w:val="32"/>
          <w:szCs w:val="32"/>
        </w:rPr>
      </w:pPr>
      <w:r>
        <w:rPr>
          <w:rFonts w:eastAsia="方正仿宋_GBK"/>
          <w:sz w:val="32"/>
          <w:szCs w:val="32"/>
        </w:rPr>
        <w:t>（四）《进出口饲料和饲料添加剂检验检疫监督管理办法》；</w:t>
      </w:r>
    </w:p>
    <w:p>
      <w:pPr>
        <w:snapToGrid w:val="0"/>
        <w:spacing w:line="540" w:lineRule="exact"/>
        <w:ind w:firstLineChars="200" w:firstLine="616"/>
        <w:jc w:val="left"/>
        <w:rPr>
          <w:spacing w:val="-4"/>
          <w:szCs w:val="2"/>
        </w:rPr>
      </w:pPr>
      <w:r>
        <w:rPr>
          <w:spacing w:val="-4"/>
        </w:rPr>
        <w:t>（五）《</w:t>
      </w:r>
      <w:r>
        <w:rPr>
          <w:rFonts w:hint="eastAsia"/>
          <w:spacing w:val="-4"/>
        </w:rPr>
        <w:t>中华人民共和国海关总署和捷克共和国农业部关于捷克输华配合饲料检疫和卫生要求的议定书</w:t>
      </w:r>
      <w:r>
        <w:rPr>
          <w:spacing w:val="-4"/>
          <w:szCs w:val="2"/>
        </w:rPr>
        <w:t>》。</w:t>
      </w:r>
    </w:p>
    <w:p>
      <w:pPr>
        <w:pStyle w:val="32"/>
        <w:spacing w:line="540" w:lineRule="exact"/>
        <w:ind w:firstLineChars="200" w:firstLine="616"/>
        <w:jc w:val="both"/>
        <w:rPr>
          <w:rFonts w:eastAsia="方正黑体_GBK"/>
          <w:spacing w:val="-4"/>
          <w:sz w:val="32"/>
          <w:szCs w:val="32"/>
          <w:lang w:eastAsia="zh-CN"/>
        </w:rPr>
      </w:pPr>
      <w:r>
        <w:rPr>
          <w:rFonts w:eastAsia="方正黑体_GBK" w:hint="eastAsia"/>
          <w:spacing w:val="-4"/>
          <w:sz w:val="32"/>
          <w:szCs w:val="32"/>
          <w:lang w:eastAsia="zh-CN"/>
        </w:rPr>
        <w:t>二、</w:t>
      </w:r>
      <w:r>
        <w:rPr>
          <w:rFonts w:eastAsia="方正黑体_GBK"/>
          <w:spacing w:val="-4"/>
          <w:sz w:val="32"/>
          <w:szCs w:val="32"/>
          <w:lang w:eastAsia="zh-CN"/>
        </w:rPr>
        <w:t>允许进口商品名称</w:t>
      </w:r>
    </w:p>
    <w:p>
      <w:pPr>
        <w:spacing w:line="540" w:lineRule="exact"/>
        <w:ind w:firstLineChars="200" w:firstLine="616"/>
        <w:jc w:val="left"/>
        <w:rPr>
          <w:spacing w:val="-4"/>
        </w:rPr>
      </w:pPr>
      <w:r>
        <w:rPr>
          <w:rFonts w:hint="eastAsia"/>
          <w:spacing w:val="-4"/>
        </w:rPr>
        <w:t>本公告中的配合饲料是指根据</w:t>
      </w:r>
      <w:r>
        <w:rPr>
          <w:spacing w:val="-4"/>
        </w:rPr>
        <w:t>养殖</w:t>
      </w:r>
      <w:r>
        <w:rPr>
          <w:rFonts w:hint="eastAsia"/>
          <w:spacing w:val="-4"/>
        </w:rPr>
        <w:t>动物营养需要，将多种饲料原料和饲料添加剂</w:t>
      </w:r>
      <w:r>
        <w:rPr>
          <w:spacing w:val="-4"/>
        </w:rPr>
        <w:t>按照一定比例配制的饲料</w:t>
      </w:r>
      <w:r>
        <w:rPr>
          <w:rFonts w:hint="eastAsia"/>
          <w:spacing w:val="-4"/>
        </w:rPr>
        <w:t>。</w:t>
      </w:r>
    </w:p>
    <w:p>
      <w:pPr>
        <w:pStyle w:val="69"/>
        <w:spacing w:line="560" w:lineRule="exact"/>
        <w:ind w:firstLineChars="200" w:firstLine="616"/>
        <w:jc w:val="both"/>
        <w:rPr>
          <w:rFonts w:eastAsia="方正黑体_GBK" w:cs="方正仿宋简体"/>
          <w:spacing w:val="-4"/>
          <w:sz w:val="32"/>
          <w:szCs w:val="32"/>
          <w:lang w:eastAsia="zh-CN"/>
        </w:rPr>
      </w:pPr>
      <w:r>
        <w:rPr>
          <w:rFonts w:eastAsia="方正黑体_GBK" w:hint="eastAsia"/>
          <w:spacing w:val="-4"/>
          <w:sz w:val="32"/>
          <w:szCs w:val="32"/>
          <w:lang w:eastAsia="zh-CN"/>
        </w:rPr>
        <w:t>三、</w:t>
      </w:r>
      <w:r>
        <w:rPr>
          <w:rFonts w:eastAsia="方正黑体_GBK" w:cs="方正仿宋简体" w:hint="eastAsia"/>
          <w:spacing w:val="-4"/>
          <w:sz w:val="32"/>
          <w:szCs w:val="32"/>
          <w:lang w:eastAsia="zh-CN"/>
        </w:rPr>
        <w:t>生产企业要求</w:t>
      </w:r>
    </w:p>
    <w:p>
      <w:pPr>
        <w:pStyle w:val="70"/>
        <w:spacing w:line="540" w:lineRule="exact"/>
        <w:ind w:firstLineChars="200" w:firstLine="616"/>
        <w:rPr>
          <w:rFonts w:eastAsia="方正仿宋_GBK" w:hint="eastAsia"/>
          <w:spacing w:val="-4"/>
          <w:sz w:val="32"/>
          <w:szCs w:val="36"/>
        </w:rPr>
      </w:pPr>
      <w:r>
        <w:rPr>
          <w:rFonts w:eastAsia="方正仿宋_GBK"/>
          <w:color w:val="000000"/>
          <w:spacing w:val="-4"/>
          <w:sz w:val="32"/>
          <w:szCs w:val="32"/>
        </w:rPr>
        <w:t>（一）</w:t>
      </w:r>
      <w:r>
        <w:rPr>
          <w:rFonts w:eastAsia="方正仿宋_GBK" w:hint="eastAsia"/>
          <w:spacing w:val="-4"/>
          <w:sz w:val="32"/>
          <w:szCs w:val="32"/>
        </w:rPr>
        <w:t>输华</w:t>
      </w:r>
      <w:r>
        <w:rPr>
          <w:rFonts w:eastAsia="方正仿宋_GBK" w:hint="eastAsia"/>
          <w:color w:val="000000"/>
          <w:spacing w:val="-4"/>
          <w:sz w:val="32"/>
          <w:szCs w:val="32"/>
        </w:rPr>
        <w:t>配合饲料</w:t>
      </w:r>
      <w:r>
        <w:rPr>
          <w:rFonts w:eastAsia="方正仿宋_GBK" w:hint="eastAsia"/>
          <w:spacing w:val="-4"/>
          <w:sz w:val="32"/>
          <w:szCs w:val="32"/>
        </w:rPr>
        <w:t>的生产企业应实施以危害分析与关键控制点（HACCP）原理为基础的卫生管理体系，经捷克官方主管部门批准，并接受其监督检查，</w:t>
      </w:r>
      <w:r>
        <w:rPr>
          <w:rFonts w:eastAsia="方正仿宋_GBK" w:hint="eastAsia"/>
          <w:spacing w:val="-4"/>
          <w:sz w:val="32"/>
          <w:szCs w:val="36"/>
        </w:rPr>
        <w:t>产品符合捷克和欧盟的相关要求并允许在捷克和欧盟市场自由销售。</w:t>
      </w:r>
    </w:p>
    <w:p>
      <w:pPr>
        <w:pStyle w:val="32"/>
        <w:spacing w:line="540" w:lineRule="exact"/>
        <w:ind w:firstLineChars="200" w:firstLine="616"/>
        <w:rPr>
          <w:rFonts w:eastAsia="方正仿宋_GBK"/>
          <w:color w:val="000000"/>
          <w:spacing w:val="-4"/>
          <w:sz w:val="32"/>
          <w:szCs w:val="32"/>
        </w:rPr>
      </w:pPr>
      <w:r>
        <w:rPr>
          <w:rFonts w:eastAsia="方正仿宋_GBK"/>
          <w:color w:val="000000"/>
          <w:spacing w:val="-4"/>
          <w:sz w:val="32"/>
          <w:szCs w:val="32"/>
        </w:rPr>
        <w:t>（二）</w:t>
      </w:r>
      <w:r>
        <w:rPr>
          <w:rFonts w:eastAsia="方正仿宋_GBK"/>
          <w:spacing w:val="-4"/>
          <w:sz w:val="32"/>
          <w:szCs w:val="32"/>
        </w:rPr>
        <w:t>输华</w:t>
      </w:r>
      <w:r>
        <w:rPr>
          <w:rFonts w:eastAsia="方正仿宋_GBK"/>
          <w:color w:val="000000"/>
          <w:spacing w:val="-4"/>
          <w:sz w:val="32"/>
          <w:szCs w:val="32"/>
        </w:rPr>
        <w:t>配合饲料</w:t>
      </w:r>
      <w:r>
        <w:rPr>
          <w:rFonts w:eastAsia="方正仿宋_GBK"/>
          <w:spacing w:val="-4"/>
          <w:sz w:val="32"/>
          <w:szCs w:val="32"/>
        </w:rPr>
        <w:t>的生产企业应经捷克共和国农业部批准并向</w:t>
      </w:r>
      <w:r>
        <w:rPr>
          <w:rFonts w:eastAsia="方正仿宋_GBK" w:hint="eastAsia"/>
          <w:spacing w:val="-4"/>
          <w:sz w:val="32"/>
          <w:szCs w:val="32"/>
        </w:rPr>
        <w:t>中华人民共和国海关总署</w:t>
      </w:r>
      <w:r>
        <w:rPr>
          <w:rFonts w:eastAsia="方正仿宋_GBK"/>
          <w:spacing w:val="-4"/>
          <w:sz w:val="32"/>
          <w:szCs w:val="32"/>
        </w:rPr>
        <w:t>推荐，获得中方注册登记后方可向中国出口</w:t>
      </w:r>
      <w:r>
        <w:rPr>
          <w:rFonts w:eastAsia="方正仿宋_GBK"/>
          <w:color w:val="000000"/>
          <w:spacing w:val="-4"/>
          <w:sz w:val="32"/>
          <w:szCs w:val="32"/>
        </w:rPr>
        <w:t>配合饲料</w:t>
      </w:r>
      <w:r>
        <w:rPr>
          <w:rFonts w:eastAsia="方正仿宋_GBK"/>
          <w:spacing w:val="-4"/>
          <w:sz w:val="32"/>
          <w:szCs w:val="32"/>
        </w:rPr>
        <w:t>。</w:t>
      </w:r>
    </w:p>
    <w:p>
      <w:pPr>
        <w:pStyle w:val="51"/>
        <w:spacing w:line="540" w:lineRule="exact"/>
        <w:rPr>
          <w:spacing w:val="-4"/>
          <w:szCs w:val="32"/>
        </w:rPr>
      </w:pPr>
      <w:r>
        <w:rPr>
          <w:rFonts w:eastAsia="方正黑体_GBK" w:cs="方正仿宋简体" w:hint="eastAsia"/>
          <w:spacing w:val="-4"/>
          <w:szCs w:val="32"/>
        </w:rPr>
        <w:t>四、</w:t>
      </w:r>
      <w:r>
        <w:rPr>
          <w:rFonts w:eastAsia="方正黑体_GBK" w:cs="方正仿宋简体"/>
          <w:spacing w:val="-4"/>
          <w:szCs w:val="32"/>
        </w:rPr>
        <w:t>原料及产品要求</w:t>
      </w:r>
    </w:p>
    <w:p>
      <w:pPr>
        <w:spacing w:line="540" w:lineRule="exact"/>
        <w:ind w:firstLineChars="200" w:firstLine="616"/>
        <w:rPr>
          <w:color w:val="000000"/>
          <w:spacing w:val="-4"/>
          <w:szCs w:val="32"/>
        </w:rPr>
      </w:pPr>
      <w:r>
        <w:rPr>
          <w:color w:val="000000"/>
          <w:spacing w:val="-4"/>
          <w:szCs w:val="32"/>
        </w:rPr>
        <w:t>（一）生产原料来自捷克本国或合法进口，符合捷克及欧盟法律法规规定的相关安全卫生要求；</w:t>
      </w:r>
    </w:p>
    <w:p>
      <w:pPr>
        <w:pStyle w:val="52"/>
        <w:spacing w:line="540" w:lineRule="exact"/>
        <w:ind w:firstLineChars="200" w:firstLine="616"/>
        <w:rPr>
          <w:rFonts w:ascii="Times New Roman" w:eastAsia="方正仿宋_GBK" w:cs="Times New Roman" w:hAnsi="Times New Roman"/>
          <w:spacing w:val="-4"/>
          <w:sz w:val="32"/>
          <w:szCs w:val="36"/>
        </w:rPr>
      </w:pPr>
      <w:r>
        <w:rPr>
          <w:rFonts w:ascii="Times New Roman" w:eastAsia="方正仿宋_GBK" w:cs="Times New Roman" w:hAnsi="Times New Roman"/>
          <w:spacing w:val="-4"/>
          <w:sz w:val="32"/>
          <w:szCs w:val="36"/>
        </w:rPr>
        <w:t>（二）</w:t>
      </w:r>
      <w:r>
        <w:rPr>
          <w:rFonts w:ascii="Times New Roman" w:eastAsia="方正仿宋_GBK" w:cs="Times New Roman" w:hAnsi="Times New Roman"/>
          <w:spacing w:val="-4"/>
          <w:sz w:val="32"/>
          <w:szCs w:val="32"/>
        </w:rPr>
        <w:t>陆生动物源性原料应来自符合OIE规定并经中方认可的非疫区。水生动物源性</w:t>
      </w:r>
      <w:r>
        <w:rPr>
          <w:rFonts w:ascii="Times New Roman" w:eastAsia="方正仿宋_GBK" w:cs="Times New Roman" w:hAnsi="Times New Roman" w:hint="eastAsia"/>
          <w:spacing w:val="-4"/>
          <w:sz w:val="32"/>
          <w:szCs w:val="32"/>
        </w:rPr>
        <w:t>原料来自于公海捕捞的</w:t>
      </w:r>
      <w:r>
        <w:rPr>
          <w:rFonts w:ascii="Times New Roman" w:eastAsia="方正仿宋_GBK" w:cs="Times New Roman" w:hAnsi="Times New Roman"/>
          <w:spacing w:val="-4"/>
          <w:sz w:val="32"/>
          <w:szCs w:val="32"/>
        </w:rPr>
        <w:t>野生</w:t>
      </w:r>
      <w:r>
        <w:rPr>
          <w:rFonts w:ascii="Times New Roman" w:eastAsia="方正仿宋_GBK" w:cs="Times New Roman" w:hAnsi="Times New Roman" w:hint="eastAsia"/>
          <w:spacing w:val="-4"/>
          <w:sz w:val="32"/>
          <w:szCs w:val="32"/>
        </w:rPr>
        <w:t>水生动物或养殖水生动物，或这些水生动物用于生产人类食用水产品后的加工副产品。</w:t>
      </w:r>
    </w:p>
    <w:p>
      <w:pPr>
        <w:pStyle w:val="37"/>
        <w:spacing w:line="540" w:lineRule="exact"/>
        <w:ind w:firstLineChars="200" w:firstLine="616"/>
        <w:rPr>
          <w:rFonts w:ascii="Times New Roman" w:eastAsia="方正仿宋_GBK" w:hAnsi="Times New Roman"/>
          <w:spacing w:val="-4"/>
          <w:sz w:val="32"/>
          <w:szCs w:val="36"/>
        </w:rPr>
      </w:pPr>
      <w:r>
        <w:rPr>
          <w:rFonts w:ascii="Times New Roman" w:eastAsia="方正仿宋_GBK" w:hAnsi="Times New Roman"/>
          <w:spacing w:val="-4"/>
          <w:sz w:val="32"/>
          <w:szCs w:val="32"/>
        </w:rPr>
        <w:t>（三）不得</w:t>
      </w:r>
      <w:r>
        <w:rPr>
          <w:rFonts w:ascii="Times New Roman" w:eastAsia="方正仿宋_GBK" w:hAnsi="Times New Roman" w:hint="eastAsia"/>
          <w:spacing w:val="-4"/>
          <w:sz w:val="32"/>
          <w:szCs w:val="32"/>
        </w:rPr>
        <w:t>使用因扑灭动物疫情而淘汰的动物或者死亡原因不明的动物。</w:t>
      </w:r>
      <w:r>
        <w:rPr>
          <w:rFonts w:ascii="Times New Roman" w:eastAsia="方正仿宋_GBK" w:hAnsi="Times New Roman"/>
          <w:spacing w:val="-4"/>
          <w:sz w:val="32"/>
          <w:szCs w:val="32"/>
        </w:rPr>
        <w:t>不得</w:t>
      </w:r>
      <w:r>
        <w:rPr>
          <w:rFonts w:ascii="Times New Roman" w:eastAsia="方正仿宋_GBK" w:hAnsi="Times New Roman" w:hint="eastAsia"/>
          <w:spacing w:val="-4"/>
          <w:sz w:val="32"/>
          <w:szCs w:val="32"/>
        </w:rPr>
        <w:t>添加任何</w:t>
      </w:r>
      <w:r>
        <w:rPr>
          <w:rFonts w:eastAsia="方正仿宋_GBK" w:hint="eastAsia"/>
          <w:spacing w:val="-4"/>
          <w:sz w:val="32"/>
          <w:szCs w:val="32"/>
        </w:rPr>
        <w:t>不明来源或种类的动物源性原料。</w:t>
      </w:r>
    </w:p>
    <w:p>
      <w:pPr>
        <w:spacing w:line="540" w:lineRule="exact"/>
        <w:ind w:firstLineChars="200" w:firstLine="616"/>
        <w:rPr>
          <w:color w:val="000000"/>
          <w:spacing w:val="-4"/>
          <w:szCs w:val="32"/>
        </w:rPr>
      </w:pPr>
      <w:r>
        <w:rPr>
          <w:color w:val="000000"/>
          <w:spacing w:val="-4"/>
          <w:szCs w:val="32"/>
        </w:rPr>
        <w:t>（四）</w:t>
      </w:r>
      <w:r>
        <w:rPr>
          <w:szCs w:val="32"/>
        </w:rPr>
        <w:t>输华产品</w:t>
      </w:r>
      <w:r>
        <w:rPr>
          <w:color w:val="000000"/>
          <w:spacing w:val="-4"/>
          <w:szCs w:val="32"/>
        </w:rPr>
        <w:t>不得含有危害动物健康的有毒有害物质，</w:t>
      </w:r>
      <w:r>
        <w:rPr>
          <w:szCs w:val="32"/>
        </w:rPr>
        <w:t>及未经中方批准的转基因成份。</w:t>
      </w:r>
    </w:p>
    <w:p>
      <w:pPr>
        <w:pStyle w:val="80"/>
        <w:spacing w:line="560" w:lineRule="exact"/>
        <w:ind w:firstLineChars="200" w:firstLine="632"/>
        <w:jc w:val="left"/>
        <w:rPr>
          <w:rFonts w:ascii="Times New Roman" w:eastAsia="方正仿宋_GBK" w:cs="Times New Roman" w:hAnsi="Times New Roman"/>
          <w:sz w:val="32"/>
          <w:szCs w:val="32"/>
        </w:rPr>
      </w:pPr>
      <w:r>
        <w:rPr>
          <w:szCs w:val="32"/>
        </w:rPr>
        <w:t>（五）</w:t>
      </w:r>
      <w:r>
        <w:rPr>
          <w:rFonts w:ascii="Times New Roman" w:eastAsia="方正仿宋_GBK" w:cs="Times New Roman" w:hAnsi="Times New Roman"/>
          <w:sz w:val="32"/>
          <w:szCs w:val="32"/>
        </w:rPr>
        <w:t>输华产品属中国农业农村部进口产品登记范围的，还应满足进口产品登记要求。</w:t>
      </w:r>
    </w:p>
    <w:p>
      <w:pPr>
        <w:pStyle w:val="80"/>
        <w:spacing w:line="560" w:lineRule="exact"/>
        <w:ind w:firstLineChars="200" w:firstLine="632"/>
        <w:jc w:val="left"/>
        <w:rPr>
          <w:rFonts w:hint="eastAsia"/>
          <w:spacing w:val="-4"/>
        </w:rPr>
      </w:pPr>
      <w:r>
        <w:rPr>
          <w:rFonts w:ascii="Times New Roman" w:eastAsia="方正仿宋_GBK" w:cs="Times New Roman" w:hAnsi="Times New Roman"/>
          <w:sz w:val="32"/>
          <w:szCs w:val="32"/>
        </w:rPr>
        <w:t>（六）输华产品应符合中方饲料卫生标准（GB13078）要求。</w:t>
      </w:r>
    </w:p>
    <w:p>
      <w:pPr>
        <w:pStyle w:val="61"/>
        <w:spacing w:line="540" w:lineRule="exact"/>
        <w:ind w:firstLineChars="196" w:firstLine="603"/>
        <w:rPr>
          <w:rFonts w:eastAsia="方正楷体_GBK"/>
          <w:b/>
          <w:bCs/>
          <w:sz w:val="32"/>
          <w:szCs w:val="32"/>
        </w:rPr>
      </w:pPr>
      <w:r>
        <w:rPr>
          <w:rFonts w:eastAsia="方正黑体_GBK" w:cs="方正仿宋简体" w:hint="eastAsia"/>
          <w:bCs/>
          <w:spacing w:val="-4"/>
          <w:kern w:val="2"/>
          <w:sz w:val="32"/>
          <w:szCs w:val="32"/>
        </w:rPr>
        <w:t>五、生产工艺要求</w:t>
      </w:r>
    </w:p>
    <w:p>
      <w:pPr>
        <w:widowControl/>
        <w:spacing w:line="540" w:lineRule="exact"/>
        <w:ind w:firstLineChars="200" w:firstLine="616"/>
        <w:jc w:val="left"/>
        <w:rPr>
          <w:rFonts w:ascii="Tahoma" w:eastAsia="宋体" w:cs="Tahoma" w:hAnsi="Tahoma"/>
          <w:color w:val="000000"/>
          <w:spacing w:val="-4"/>
          <w:kern w:val="0"/>
          <w:sz w:val="20"/>
        </w:rPr>
      </w:pPr>
      <w:r>
        <w:rPr>
          <w:color w:val="000000"/>
          <w:spacing w:val="-4"/>
          <w:szCs w:val="32"/>
        </w:rPr>
        <w:t>（一）</w:t>
      </w:r>
      <w:r>
        <w:rPr>
          <w:rFonts w:ascii="方正仿宋_GBK" w:hint="eastAsia"/>
          <w:color w:val="000000"/>
          <w:spacing w:val="-4"/>
          <w:kern w:val="0"/>
          <w:szCs w:val="32"/>
        </w:rPr>
        <w:t>输华配合饲料的生产加工经过中心温度不低于</w:t>
      </w:r>
      <w:r>
        <w:rPr>
          <w:color w:val="000000"/>
          <w:spacing w:val="-4"/>
          <w:kern w:val="0"/>
          <w:szCs w:val="32"/>
          <w:lang w:val="en-NZ"/>
        </w:rPr>
        <w:t>90</w:t>
      </w:r>
      <w:r>
        <w:rPr>
          <w:rFonts w:ascii="方正仿宋_GBK" w:hint="eastAsia"/>
          <w:color w:val="000000"/>
          <w:spacing w:val="-4"/>
          <w:kern w:val="0"/>
          <w:szCs w:val="32"/>
        </w:rPr>
        <w:t>℃，持续时间不少于</w:t>
      </w:r>
      <w:r>
        <w:rPr>
          <w:color w:val="000000"/>
          <w:spacing w:val="-4"/>
          <w:kern w:val="0"/>
          <w:szCs w:val="32"/>
          <w:lang w:val="en-NZ"/>
        </w:rPr>
        <w:t>30</w:t>
      </w:r>
      <w:r>
        <w:rPr>
          <w:rFonts w:ascii="方正仿宋_GBK" w:hint="eastAsia"/>
          <w:color w:val="000000"/>
          <w:spacing w:val="-4"/>
          <w:kern w:val="0"/>
          <w:szCs w:val="32"/>
        </w:rPr>
        <w:t>分钟热处理，或采用经中方认可的其它等效处理方式。</w:t>
      </w:r>
    </w:p>
    <w:p>
      <w:pPr>
        <w:widowControl/>
        <w:spacing w:line="540" w:lineRule="exact"/>
        <w:ind w:firstLine="200"/>
        <w:jc w:val="left"/>
        <w:rPr>
          <w:rFonts w:ascii="Tahoma" w:cs="Tahoma" w:hAnsi="Tahoma"/>
          <w:color w:val="000000"/>
          <w:spacing w:val="-4"/>
          <w:kern w:val="0"/>
          <w:sz w:val="20"/>
        </w:rPr>
      </w:pPr>
      <w:r>
        <w:rPr>
          <w:rFonts w:ascii="方正仿宋_GBK" w:hint="eastAsia"/>
          <w:color w:val="000000"/>
          <w:spacing w:val="-4"/>
          <w:kern w:val="0"/>
          <w:szCs w:val="32"/>
        </w:rPr>
        <w:t xml:space="preserve">  </w:t>
      </w:r>
      <w:r>
        <w:rPr>
          <w:rFonts w:ascii="方正仿宋_GBK"/>
          <w:color w:val="000000"/>
          <w:spacing w:val="-4"/>
          <w:kern w:val="0"/>
          <w:szCs w:val="32"/>
        </w:rPr>
        <w:t>（二）</w:t>
      </w:r>
      <w:r>
        <w:rPr>
          <w:rFonts w:ascii="方正仿宋_GBK" w:hint="eastAsia"/>
          <w:color w:val="000000"/>
          <w:spacing w:val="-4"/>
          <w:kern w:val="0"/>
          <w:szCs w:val="32"/>
        </w:rPr>
        <w:t>经加工配合饲料输华前应</w:t>
      </w:r>
      <w:r>
        <w:rPr>
          <w:rFonts w:hint="eastAsia"/>
          <w:color w:val="000000"/>
          <w:spacing w:val="-4"/>
          <w:szCs w:val="32"/>
        </w:rPr>
        <w:t>经捷克官方随机抽样检测</w:t>
      </w:r>
      <w:r>
        <w:rPr>
          <w:rFonts w:ascii="方正仿宋_GBK" w:hint="eastAsia"/>
          <w:color w:val="000000"/>
          <w:spacing w:val="-4"/>
          <w:kern w:val="0"/>
          <w:szCs w:val="32"/>
        </w:rPr>
        <w:t>，并符合以下要求：</w:t>
      </w:r>
    </w:p>
    <w:p>
      <w:pPr>
        <w:widowControl/>
        <w:spacing w:line="540" w:lineRule="exact"/>
        <w:ind w:firstLineChars="208" w:firstLine="640"/>
        <w:jc w:val="left"/>
        <w:rPr>
          <w:rFonts w:ascii="Tahoma" w:cs="Tahoma" w:hAnsi="Tahoma"/>
          <w:color w:val="000000"/>
          <w:spacing w:val="-4"/>
          <w:kern w:val="0"/>
          <w:sz w:val="20"/>
        </w:rPr>
      </w:pPr>
      <w:r>
        <w:rPr>
          <w:rFonts w:ascii="方正仿宋_GBK" w:hint="eastAsia"/>
          <w:color w:val="000000"/>
          <w:spacing w:val="-4"/>
          <w:kern w:val="0"/>
          <w:szCs w:val="32"/>
        </w:rPr>
        <w:t>沙门氏菌：</w:t>
      </w:r>
      <w:r>
        <w:rPr>
          <w:color w:val="000000"/>
          <w:spacing w:val="-4"/>
          <w:kern w:val="0"/>
          <w:szCs w:val="32"/>
          <w:lang w:val="en-NZ"/>
        </w:rPr>
        <w:t>25</w:t>
      </w:r>
      <w:r>
        <w:rPr>
          <w:rFonts w:ascii="方正仿宋_GBK" w:hint="eastAsia"/>
          <w:color w:val="000000"/>
          <w:spacing w:val="-4"/>
          <w:kern w:val="0"/>
          <w:szCs w:val="32"/>
        </w:rPr>
        <w:t>克样品中未检出：</w:t>
      </w:r>
      <w:r>
        <w:rPr>
          <w:color w:val="000000"/>
          <w:spacing w:val="-4"/>
          <w:kern w:val="0"/>
          <w:szCs w:val="32"/>
          <w:lang w:val="en-NZ"/>
        </w:rPr>
        <w:t>n=5, c=0, m=0, M=0</w:t>
      </w:r>
      <w:r>
        <w:rPr>
          <w:rFonts w:ascii="方正仿宋_GBK" w:hint="eastAsia"/>
          <w:color w:val="000000"/>
          <w:spacing w:val="-4"/>
          <w:kern w:val="0"/>
          <w:szCs w:val="32"/>
        </w:rPr>
        <w:t>；</w:t>
      </w:r>
    </w:p>
    <w:p>
      <w:pPr>
        <w:widowControl/>
        <w:spacing w:line="540" w:lineRule="exact"/>
        <w:ind w:firstLineChars="208" w:firstLine="640"/>
        <w:jc w:val="left"/>
        <w:rPr>
          <w:rFonts w:ascii="Tahoma" w:cs="Tahoma" w:hAnsi="Tahoma"/>
          <w:color w:val="000000"/>
          <w:spacing w:val="-4"/>
          <w:kern w:val="0"/>
          <w:sz w:val="20"/>
        </w:rPr>
      </w:pPr>
      <w:r>
        <w:rPr>
          <w:rFonts w:ascii="方正仿宋_GBK" w:hint="eastAsia"/>
          <w:color w:val="000000"/>
          <w:spacing w:val="-4"/>
          <w:kern w:val="0"/>
          <w:szCs w:val="32"/>
        </w:rPr>
        <w:t>肠杆菌科：</w:t>
      </w:r>
      <w:r>
        <w:rPr>
          <w:color w:val="000000"/>
          <w:spacing w:val="-4"/>
          <w:kern w:val="0"/>
          <w:szCs w:val="32"/>
          <w:lang w:val="en-NZ"/>
        </w:rPr>
        <w:t>1</w:t>
      </w:r>
      <w:r>
        <w:rPr>
          <w:rFonts w:ascii="方正仿宋_GBK" w:hint="eastAsia"/>
          <w:color w:val="000000"/>
          <w:spacing w:val="-4"/>
          <w:kern w:val="0"/>
          <w:szCs w:val="32"/>
        </w:rPr>
        <w:t>克样品中：</w:t>
      </w:r>
      <w:r>
        <w:rPr>
          <w:color w:val="000000"/>
          <w:spacing w:val="-4"/>
          <w:kern w:val="0"/>
          <w:szCs w:val="32"/>
          <w:lang w:val="en-NZ"/>
        </w:rPr>
        <w:t>n=5, c=2, m=10, M=3</w:t>
      </w:r>
      <w:r>
        <w:rPr>
          <w:rFonts w:ascii="方正仿宋_GBK" w:hint="eastAsia"/>
          <w:color w:val="000000"/>
          <w:spacing w:val="-4"/>
          <w:kern w:val="0"/>
          <w:szCs w:val="32"/>
        </w:rPr>
        <w:t>×</w:t>
      </w:r>
      <w:r>
        <w:rPr>
          <w:color w:val="000000"/>
          <w:spacing w:val="-4"/>
          <w:kern w:val="0"/>
          <w:szCs w:val="32"/>
          <w:lang w:val="en-NZ"/>
        </w:rPr>
        <w:t>10</w:t>
      </w:r>
      <w:r>
        <w:rPr>
          <w:color w:val="000000"/>
          <w:spacing w:val="-4"/>
          <w:kern w:val="0"/>
          <w:szCs w:val="32"/>
          <w:vertAlign w:val="superscript"/>
          <w:lang w:val="en-NZ"/>
        </w:rPr>
        <w:t>2</w:t>
      </w:r>
      <w:r>
        <w:rPr>
          <w:rFonts w:ascii="方正仿宋_GBK" w:hint="eastAsia"/>
          <w:color w:val="000000"/>
          <w:spacing w:val="-4"/>
          <w:kern w:val="0"/>
          <w:szCs w:val="32"/>
        </w:rPr>
        <w:t>；</w:t>
      </w:r>
    </w:p>
    <w:p>
      <w:pPr>
        <w:widowControl/>
        <w:spacing w:line="540" w:lineRule="exact"/>
        <w:ind w:firstLineChars="208" w:firstLine="640"/>
        <w:jc w:val="left"/>
        <w:rPr>
          <w:rFonts w:ascii="Tahoma" w:cs="Tahoma" w:hAnsi="Tahoma"/>
          <w:color w:val="000000"/>
          <w:spacing w:val="-4"/>
          <w:kern w:val="0"/>
          <w:sz w:val="20"/>
        </w:rPr>
      </w:pPr>
      <w:r>
        <w:rPr>
          <w:color w:val="000000"/>
          <w:spacing w:val="-4"/>
          <w:kern w:val="0"/>
          <w:szCs w:val="32"/>
          <w:lang w:val="en-NZ"/>
        </w:rPr>
        <w:t>n</w:t>
      </w:r>
      <w:r>
        <w:rPr>
          <w:rFonts w:ascii="方正仿宋_GBK" w:hint="eastAsia"/>
          <w:color w:val="000000"/>
          <w:spacing w:val="-4"/>
          <w:kern w:val="0"/>
          <w:szCs w:val="32"/>
        </w:rPr>
        <w:t>－检验的样品数</w:t>
      </w:r>
    </w:p>
    <w:p>
      <w:pPr>
        <w:widowControl/>
        <w:spacing w:line="540" w:lineRule="exact"/>
        <w:ind w:firstLineChars="208" w:firstLine="640"/>
        <w:jc w:val="left"/>
        <w:rPr>
          <w:rFonts w:ascii="Tahoma" w:cs="Tahoma" w:hAnsi="Tahoma"/>
          <w:color w:val="000000"/>
          <w:spacing w:val="-4"/>
          <w:kern w:val="0"/>
          <w:sz w:val="20"/>
        </w:rPr>
      </w:pPr>
      <w:r>
        <w:rPr>
          <w:color w:val="000000"/>
          <w:spacing w:val="-4"/>
          <w:kern w:val="0"/>
          <w:szCs w:val="32"/>
          <w:lang w:val="en-NZ"/>
        </w:rPr>
        <w:t>m</w:t>
      </w:r>
      <w:r>
        <w:rPr>
          <w:rFonts w:ascii="方正仿宋_GBK" w:hint="eastAsia"/>
          <w:color w:val="000000"/>
          <w:spacing w:val="-4"/>
          <w:kern w:val="0"/>
          <w:szCs w:val="32"/>
        </w:rPr>
        <w:t>－细菌数的阈值；如果所有样品中细菌数都没有超过</w:t>
      </w:r>
      <w:r>
        <w:rPr>
          <w:color w:val="000000"/>
          <w:spacing w:val="-4"/>
          <w:kern w:val="0"/>
          <w:szCs w:val="32"/>
          <w:lang w:val="en-NZ"/>
        </w:rPr>
        <w:t>m</w:t>
      </w:r>
      <w:r>
        <w:rPr>
          <w:rFonts w:ascii="方正仿宋_GBK" w:hint="eastAsia"/>
          <w:color w:val="000000"/>
          <w:spacing w:val="-4"/>
          <w:kern w:val="0"/>
          <w:szCs w:val="32"/>
        </w:rPr>
        <w:t>，该结果为合格；</w:t>
      </w:r>
    </w:p>
    <w:p>
      <w:pPr>
        <w:widowControl/>
        <w:spacing w:line="540" w:lineRule="exact"/>
        <w:ind w:firstLineChars="208" w:firstLine="640"/>
        <w:jc w:val="left"/>
        <w:rPr>
          <w:rFonts w:ascii="Tahoma" w:cs="Tahoma" w:hAnsi="Tahoma"/>
          <w:color w:val="000000"/>
          <w:spacing w:val="-4"/>
          <w:kern w:val="0"/>
          <w:sz w:val="20"/>
        </w:rPr>
      </w:pPr>
      <w:r>
        <w:rPr>
          <w:color w:val="000000"/>
          <w:spacing w:val="-4"/>
          <w:kern w:val="0"/>
          <w:szCs w:val="32"/>
          <w:lang w:val="en-NZ"/>
        </w:rPr>
        <w:t>M</w:t>
      </w:r>
      <w:r>
        <w:rPr>
          <w:rFonts w:ascii="方正仿宋_GBK" w:hint="eastAsia"/>
          <w:color w:val="000000"/>
          <w:spacing w:val="-4"/>
          <w:kern w:val="0"/>
          <w:szCs w:val="32"/>
        </w:rPr>
        <w:t>－细菌数的最大值；如果有</w:t>
      </w:r>
      <w:r>
        <w:rPr>
          <w:color w:val="000000"/>
          <w:spacing w:val="-4"/>
          <w:kern w:val="0"/>
          <w:szCs w:val="32"/>
          <w:lang w:val="en-NZ"/>
        </w:rPr>
        <w:t>1</w:t>
      </w:r>
      <w:r>
        <w:rPr>
          <w:rFonts w:ascii="方正仿宋_GBK" w:hint="eastAsia"/>
          <w:color w:val="000000"/>
          <w:spacing w:val="-4"/>
          <w:kern w:val="0"/>
          <w:szCs w:val="32"/>
        </w:rPr>
        <w:t>个或多个样品中细菌数等于或大于</w:t>
      </w:r>
      <w:r>
        <w:rPr>
          <w:color w:val="000000"/>
          <w:spacing w:val="-4"/>
          <w:kern w:val="0"/>
          <w:szCs w:val="32"/>
          <w:lang w:val="en-NZ"/>
        </w:rPr>
        <w:t>M</w:t>
      </w:r>
      <w:r>
        <w:rPr>
          <w:rFonts w:ascii="方正仿宋_GBK" w:hint="eastAsia"/>
          <w:color w:val="000000"/>
          <w:spacing w:val="-4"/>
          <w:kern w:val="0"/>
          <w:szCs w:val="32"/>
        </w:rPr>
        <w:t>，该结果为不合格；</w:t>
      </w:r>
    </w:p>
    <w:p>
      <w:pPr>
        <w:widowControl/>
        <w:spacing w:line="540" w:lineRule="exact"/>
        <w:ind w:firstLineChars="208" w:firstLine="640"/>
        <w:jc w:val="left"/>
        <w:rPr>
          <w:rFonts w:ascii="方正仿宋_GBK"/>
          <w:color w:val="000000"/>
          <w:spacing w:val="-4"/>
          <w:kern w:val="0"/>
          <w:szCs w:val="32"/>
        </w:rPr>
      </w:pPr>
      <w:r>
        <w:rPr>
          <w:color w:val="000000"/>
          <w:spacing w:val="-4"/>
          <w:kern w:val="0"/>
          <w:szCs w:val="32"/>
          <w:lang w:val="en-NZ"/>
        </w:rPr>
        <w:t>c</w:t>
      </w:r>
      <w:r>
        <w:rPr>
          <w:rFonts w:ascii="方正仿宋_GBK" w:hint="eastAsia"/>
          <w:color w:val="000000"/>
          <w:spacing w:val="-4"/>
          <w:kern w:val="0"/>
          <w:szCs w:val="32"/>
        </w:rPr>
        <w:t>－细菌数介于</w:t>
      </w:r>
      <w:r>
        <w:rPr>
          <w:color w:val="000000"/>
          <w:spacing w:val="-4"/>
          <w:kern w:val="0"/>
          <w:szCs w:val="32"/>
          <w:lang w:val="en-NZ"/>
        </w:rPr>
        <w:t>m</w:t>
      </w:r>
      <w:r>
        <w:rPr>
          <w:rFonts w:ascii="方正仿宋_GBK" w:hint="eastAsia"/>
          <w:color w:val="000000"/>
          <w:spacing w:val="-4"/>
          <w:kern w:val="0"/>
          <w:szCs w:val="32"/>
        </w:rPr>
        <w:t>与</w:t>
      </w:r>
      <w:r>
        <w:rPr>
          <w:color w:val="000000"/>
          <w:spacing w:val="-4"/>
          <w:kern w:val="0"/>
          <w:szCs w:val="32"/>
          <w:lang w:val="en-NZ"/>
        </w:rPr>
        <w:t>M</w:t>
      </w:r>
      <w:r>
        <w:rPr>
          <w:rFonts w:ascii="方正仿宋_GBK" w:hint="eastAsia"/>
          <w:color w:val="000000"/>
          <w:spacing w:val="-4"/>
          <w:kern w:val="0"/>
          <w:szCs w:val="32"/>
        </w:rPr>
        <w:t>之间的样品数，如果其它样品的细菌数是小于或等于</w:t>
      </w:r>
      <w:r>
        <w:rPr>
          <w:color w:val="000000"/>
          <w:spacing w:val="-4"/>
          <w:kern w:val="0"/>
          <w:szCs w:val="32"/>
          <w:lang w:val="en-NZ"/>
        </w:rPr>
        <w:t>m</w:t>
      </w:r>
      <w:r>
        <w:rPr>
          <w:rFonts w:ascii="方正仿宋_GBK" w:hint="eastAsia"/>
          <w:color w:val="000000"/>
          <w:spacing w:val="-4"/>
          <w:kern w:val="0"/>
          <w:szCs w:val="32"/>
        </w:rPr>
        <w:t>，该结果仍认为可接受。</w:t>
      </w:r>
    </w:p>
    <w:p>
      <w:pPr>
        <w:pStyle w:val="71"/>
        <w:spacing w:line="560" w:lineRule="exact"/>
        <w:ind w:firstLineChars="200" w:firstLine="616"/>
        <w:rPr>
          <w:spacing w:val="-4"/>
        </w:rPr>
      </w:pPr>
      <w:r>
        <w:rPr>
          <w:rFonts w:eastAsia="方正黑体_GBK" w:cs="方正仿宋简体"/>
          <w:spacing w:val="-4"/>
          <w:szCs w:val="32"/>
        </w:rPr>
        <w:t>六</w:t>
      </w:r>
      <w:r>
        <w:rPr>
          <w:rFonts w:eastAsia="方正黑体_GBK" w:cs="方正仿宋简体" w:hint="eastAsia"/>
          <w:spacing w:val="-4"/>
          <w:szCs w:val="32"/>
        </w:rPr>
        <w:t>、包装、标签</w:t>
      </w:r>
      <w:r>
        <w:rPr>
          <w:rFonts w:eastAsia="方正黑体_GBK" w:cs="方正仿宋简体"/>
          <w:spacing w:val="-4"/>
          <w:szCs w:val="32"/>
        </w:rPr>
        <w:t>和</w:t>
      </w:r>
      <w:r>
        <w:rPr>
          <w:rFonts w:eastAsia="方正黑体_GBK" w:cs="方正仿宋简体" w:hint="eastAsia"/>
          <w:spacing w:val="-4"/>
          <w:szCs w:val="32"/>
        </w:rPr>
        <w:t>存储运输要求</w:t>
      </w:r>
    </w:p>
    <w:p>
      <w:pPr>
        <w:pStyle w:val="51"/>
        <w:spacing w:line="540" w:lineRule="exact"/>
        <w:rPr>
          <w:rFonts w:eastAsia="方正仿宋_GBK"/>
          <w:spacing w:val="-4"/>
          <w:sz w:val="32"/>
          <w:szCs w:val="32"/>
        </w:rPr>
      </w:pPr>
      <w:r>
        <w:rPr>
          <w:rFonts w:eastAsia="方正仿宋_GBK"/>
          <w:color w:val="000000"/>
          <w:spacing w:val="-4"/>
          <w:kern w:val="0"/>
          <w:sz w:val="32"/>
          <w:szCs w:val="32"/>
        </w:rPr>
        <w:t>（一）</w:t>
      </w:r>
      <w:r>
        <w:rPr>
          <w:rFonts w:eastAsia="方正仿宋_GBK" w:hint="eastAsia"/>
          <w:spacing w:val="-4"/>
          <w:sz w:val="32"/>
          <w:szCs w:val="32"/>
        </w:rPr>
        <w:t>每批输华</w:t>
      </w:r>
      <w:r>
        <w:rPr>
          <w:rFonts w:eastAsia="方正仿宋_GBK"/>
          <w:spacing w:val="-4"/>
          <w:sz w:val="32"/>
          <w:szCs w:val="32"/>
        </w:rPr>
        <w:t>配合</w:t>
      </w:r>
      <w:r>
        <w:rPr>
          <w:rFonts w:eastAsia="方正仿宋_GBK" w:hint="eastAsia"/>
          <w:spacing w:val="-4"/>
          <w:sz w:val="32"/>
          <w:szCs w:val="32"/>
        </w:rPr>
        <w:t>饲料须用全新、洁净，密封和防潮性能良好、不易破损的包装材料进行包装。</w:t>
      </w:r>
    </w:p>
    <w:p>
      <w:pPr>
        <w:pStyle w:val="35"/>
        <w:spacing w:line="540" w:lineRule="exact"/>
        <w:ind w:firstLineChars="200" w:firstLine="616"/>
        <w:contextualSpacing/>
        <w:rPr>
          <w:rFonts w:eastAsia="方正仿宋_GBK"/>
          <w:bCs/>
          <w:color w:val="000000"/>
          <w:spacing w:val="-4"/>
          <w:sz w:val="32"/>
          <w:szCs w:val="32"/>
        </w:rPr>
      </w:pPr>
      <w:r>
        <w:rPr>
          <w:rFonts w:ascii="Times New Roman" w:eastAsia="方正仿宋_GBK" w:hAnsi="Times New Roman"/>
          <w:color w:val="000000"/>
          <w:spacing w:val="-4"/>
          <w:kern w:val="0"/>
          <w:sz w:val="32"/>
          <w:szCs w:val="32"/>
        </w:rPr>
        <w:t>（二）</w:t>
      </w:r>
      <w:r>
        <w:rPr>
          <w:rFonts w:eastAsia="方正仿宋_GBK" w:hint="eastAsia"/>
          <w:bCs/>
          <w:spacing w:val="-4"/>
          <w:sz w:val="32"/>
          <w:szCs w:val="32"/>
        </w:rPr>
        <w:t>包装需加施中文标签，</w:t>
      </w:r>
      <w:r>
        <w:rPr>
          <w:rFonts w:eastAsia="方正仿宋_GBK" w:hint="eastAsia"/>
          <w:bCs/>
          <w:color w:val="000000"/>
          <w:spacing w:val="-4"/>
          <w:sz w:val="32"/>
          <w:szCs w:val="32"/>
        </w:rPr>
        <w:t>标签应符合</w:t>
      </w:r>
      <w:r>
        <w:rPr>
          <w:rFonts w:eastAsia="方正仿宋_GBK" w:hint="eastAsia"/>
          <w:spacing w:val="-4"/>
          <w:sz w:val="32"/>
          <w:szCs w:val="32"/>
        </w:rPr>
        <w:t>中国国家标准《饲料标签》（</w:t>
      </w:r>
      <w:r>
        <w:rPr>
          <w:rFonts w:ascii="Times New Roman" w:eastAsia="方正仿宋_GBK" w:hAnsi="Times New Roman"/>
          <w:spacing w:val="-4"/>
          <w:sz w:val="32"/>
          <w:szCs w:val="32"/>
        </w:rPr>
        <w:t>GB 10648</w:t>
      </w:r>
      <w:r>
        <w:rPr>
          <w:rFonts w:eastAsia="方正仿宋_GBK" w:hint="eastAsia"/>
          <w:spacing w:val="-4"/>
          <w:sz w:val="32"/>
          <w:szCs w:val="32"/>
        </w:rPr>
        <w:t>）要求</w:t>
      </w:r>
      <w:r>
        <w:rPr>
          <w:rFonts w:eastAsia="方正仿宋_GBK" w:hint="eastAsia"/>
          <w:bCs/>
          <w:spacing w:val="-4"/>
          <w:sz w:val="32"/>
          <w:szCs w:val="32"/>
        </w:rPr>
        <w:t>。货物外包装需注明生产企业名称及注册登记号码，</w:t>
      </w:r>
      <w:r>
        <w:rPr>
          <w:rFonts w:eastAsia="方正仿宋_GBK" w:hint="eastAsia"/>
          <w:bCs/>
          <w:color w:val="000000"/>
          <w:spacing w:val="-4"/>
          <w:sz w:val="32"/>
          <w:szCs w:val="32"/>
        </w:rPr>
        <w:t>并标注</w:t>
      </w:r>
      <w:r>
        <w:rPr>
          <w:rFonts w:eastAsia="方正仿宋_GBK" w:hint="eastAsia"/>
          <w:spacing w:val="-4"/>
          <w:sz w:val="32"/>
          <w:szCs w:val="32"/>
        </w:rPr>
        <w:t>“仅用作饲料”等警示语</w:t>
      </w:r>
      <w:r>
        <w:rPr>
          <w:rFonts w:eastAsia="方正仿宋_GBK" w:hint="eastAsia"/>
          <w:bCs/>
          <w:color w:val="000000"/>
          <w:spacing w:val="-4"/>
          <w:sz w:val="32"/>
          <w:szCs w:val="32"/>
        </w:rPr>
        <w:t>。</w:t>
      </w:r>
    </w:p>
    <w:p>
      <w:pPr>
        <w:pStyle w:val="56"/>
        <w:spacing w:line="540" w:lineRule="exact"/>
        <w:ind w:firstLineChars="200" w:firstLine="616"/>
        <w:rPr>
          <w:rFonts w:eastAsia="方正仿宋_GBK"/>
          <w:spacing w:val="-4"/>
          <w:sz w:val="32"/>
          <w:szCs w:val="32"/>
        </w:rPr>
      </w:pPr>
      <w:r>
        <w:rPr>
          <w:rFonts w:eastAsia="方正仿宋_GBK"/>
          <w:spacing w:val="-4"/>
          <w:sz w:val="32"/>
          <w:szCs w:val="32"/>
        </w:rPr>
        <w:t>（三）</w:t>
      </w:r>
      <w:r>
        <w:rPr>
          <w:rFonts w:eastAsia="方正仿宋_GBK" w:hint="eastAsia"/>
          <w:spacing w:val="-4"/>
          <w:sz w:val="32"/>
          <w:szCs w:val="32"/>
        </w:rPr>
        <w:t>输华配合饲料的生产、存储、运输过程采取了有效措施避免污染。</w:t>
      </w:r>
    </w:p>
    <w:p>
      <w:pPr>
        <w:pStyle w:val="72"/>
        <w:spacing w:line="560" w:lineRule="exact"/>
        <w:ind w:firstLineChars="200" w:firstLine="616"/>
        <w:rPr>
          <w:rFonts w:eastAsia="方正黑体_GBK" w:cs="方正仿宋简体"/>
          <w:spacing w:val="-4"/>
          <w:sz w:val="32"/>
          <w:szCs w:val="32"/>
        </w:rPr>
      </w:pPr>
      <w:r>
        <w:rPr>
          <w:rFonts w:eastAsia="方正黑体_GBK" w:cs="方正仿宋简体"/>
          <w:spacing w:val="-4"/>
          <w:sz w:val="32"/>
          <w:szCs w:val="32"/>
        </w:rPr>
        <w:t>七</w:t>
      </w:r>
      <w:r>
        <w:rPr>
          <w:rFonts w:eastAsia="方正黑体_GBK" w:cs="方正仿宋简体" w:hint="eastAsia"/>
          <w:spacing w:val="-4"/>
          <w:sz w:val="32"/>
          <w:szCs w:val="32"/>
        </w:rPr>
        <w:t>、出口前</w:t>
      </w:r>
      <w:r>
        <w:rPr>
          <w:rFonts w:eastAsia="方正黑体_GBK" w:cs="方正仿宋简体"/>
          <w:spacing w:val="-4"/>
          <w:sz w:val="32"/>
          <w:szCs w:val="32"/>
        </w:rPr>
        <w:t>查验和证书</w:t>
      </w:r>
      <w:r>
        <w:rPr>
          <w:rFonts w:eastAsia="方正黑体_GBK" w:cs="方正仿宋简体" w:hint="eastAsia"/>
          <w:spacing w:val="-4"/>
          <w:sz w:val="32"/>
          <w:szCs w:val="32"/>
        </w:rPr>
        <w:t>要求</w:t>
      </w:r>
    </w:p>
    <w:p>
      <w:pPr>
        <w:pStyle w:val="22"/>
        <w:tabs>
          <w:tab w:val="left" w:pos="360"/>
        </w:tabs>
        <w:spacing w:line="540" w:lineRule="exact"/>
        <w:ind w:left="0" w:firstLineChars="200" w:firstLine="616"/>
        <w:jc w:val="left"/>
        <w:rPr>
          <w:rFonts w:ascii="Times New Roman" w:eastAsia="方正仿宋_GBK" w:cs="Times New Roman" w:hAnsi="Times New Roman"/>
          <w:spacing w:val="-4"/>
          <w:sz w:val="32"/>
          <w:szCs w:val="32"/>
        </w:rPr>
      </w:pPr>
      <w:r>
        <w:rPr>
          <w:rFonts w:hint="eastAsia"/>
          <w:spacing w:val="-4"/>
          <w:kern w:val="0"/>
          <w:szCs w:val="32"/>
        </w:rPr>
        <w:t>捷克</w:t>
      </w:r>
      <w:r>
        <w:rPr>
          <w:rFonts w:hint="eastAsia"/>
          <w:spacing w:val="-4"/>
          <w:szCs w:val="32"/>
        </w:rPr>
        <w:t>官方应对输华</w:t>
      </w:r>
      <w:r>
        <w:rPr>
          <w:spacing w:val="-4"/>
          <w:szCs w:val="32"/>
        </w:rPr>
        <w:t>配合</w:t>
      </w:r>
      <w:r>
        <w:rPr>
          <w:rFonts w:hint="eastAsia"/>
          <w:spacing w:val="-4"/>
          <w:szCs w:val="32"/>
        </w:rPr>
        <w:t>饲料进行检验检疫监督管理，并出具卫生证书，证明</w:t>
      </w:r>
      <w:r>
        <w:rPr>
          <w:spacing w:val="-4"/>
          <w:szCs w:val="32"/>
        </w:rPr>
        <w:t>配合</w:t>
      </w:r>
      <w:r>
        <w:rPr>
          <w:rFonts w:hint="eastAsia"/>
          <w:spacing w:val="-4"/>
          <w:szCs w:val="32"/>
        </w:rPr>
        <w:t>饲料符合双边议定书的要求。</w:t>
      </w:r>
      <w:r>
        <w:rPr>
          <w:rFonts w:ascii="Times New Roman" w:eastAsia="方正仿宋_GBK" w:cs="Times New Roman" w:hAnsi="Times New Roman" w:hint="eastAsia"/>
          <w:spacing w:val="-4"/>
          <w:sz w:val="32"/>
          <w:szCs w:val="32"/>
        </w:rPr>
        <w:t>向中国出口的每批</w:t>
      </w:r>
      <w:r>
        <w:rPr>
          <w:rFonts w:ascii="Times New Roman" w:eastAsia="方正仿宋_GBK" w:cs="Times New Roman" w:hAnsi="Times New Roman"/>
          <w:spacing w:val="-4"/>
          <w:sz w:val="32"/>
          <w:szCs w:val="32"/>
        </w:rPr>
        <w:t>配合饲料</w:t>
      </w:r>
      <w:r>
        <w:rPr>
          <w:rFonts w:ascii="Times New Roman" w:eastAsia="方正仿宋_GBK" w:cs="Times New Roman" w:hAnsi="Times New Roman" w:hint="eastAsia"/>
          <w:spacing w:val="-4"/>
          <w:sz w:val="32"/>
          <w:szCs w:val="32"/>
        </w:rPr>
        <w:t>均须随附</w:t>
      </w:r>
      <w:r>
        <w:rPr>
          <w:rFonts w:ascii="Times New Roman" w:eastAsia="方正仿宋_GBK" w:cs="Times New Roman" w:hAnsi="Times New Roman"/>
          <w:sz w:val="32"/>
          <w:szCs w:val="32"/>
        </w:rPr>
        <w:t>一份</w:t>
      </w:r>
      <w:r>
        <w:rPr>
          <w:rFonts w:ascii="Times New Roman" w:eastAsia="方正仿宋_GBK" w:cs="Times New Roman" w:hAnsi="Times New Roman" w:hint="eastAsia"/>
          <w:sz w:val="32"/>
          <w:szCs w:val="32"/>
        </w:rPr>
        <w:t>正本</w:t>
      </w:r>
      <w:r>
        <w:rPr>
          <w:rFonts w:ascii="Times New Roman" w:eastAsia="方正仿宋_GBK" w:cs="Times New Roman" w:hAnsi="Times New Roman"/>
          <w:sz w:val="32"/>
          <w:szCs w:val="32"/>
        </w:rPr>
        <w:t>官方卫生证书。</w:t>
      </w:r>
    </w:p>
    <w:p>
      <w:pPr>
        <w:pStyle w:val="22"/>
        <w:tabs>
          <w:tab w:val="left" w:pos="360"/>
        </w:tabs>
        <w:spacing w:line="540" w:lineRule="exact"/>
        <w:ind w:leftChars="114" w:left="360" w:firstLineChars="114" w:firstLine="351"/>
        <w:rPr>
          <w:rFonts w:eastAsia="方正黑体_GBK" w:cs="方正仿宋简体"/>
          <w:spacing w:val="-4"/>
          <w:szCs w:val="32"/>
        </w:rPr>
      </w:pPr>
      <w:r>
        <w:rPr>
          <w:rFonts w:eastAsia="方正黑体_GBK" w:cs="方正仿宋简体"/>
          <w:spacing w:val="-4"/>
          <w:szCs w:val="32"/>
        </w:rPr>
        <w:t>八</w:t>
      </w:r>
      <w:r>
        <w:rPr>
          <w:rFonts w:eastAsia="方正黑体_GBK" w:cs="方正仿宋简体" w:hint="eastAsia"/>
          <w:spacing w:val="-4"/>
          <w:szCs w:val="32"/>
        </w:rPr>
        <w:t>、进境检验检疫</w:t>
      </w:r>
    </w:p>
    <w:p>
      <w:pPr>
        <w:pStyle w:val="62"/>
        <w:widowControl/>
        <w:spacing w:line="540" w:lineRule="exact"/>
        <w:ind w:firstLineChars="200" w:firstLine="632"/>
        <w:rPr>
          <w:rFonts w:eastAsia="方正楷体_GBK"/>
          <w:b/>
          <w:bCs/>
          <w:sz w:val="32"/>
          <w:szCs w:val="32"/>
        </w:rPr>
      </w:pPr>
      <w:r>
        <w:rPr>
          <w:rFonts w:eastAsia="方正楷体_GBK" w:hint="eastAsia"/>
          <w:b/>
          <w:bCs/>
          <w:sz w:val="32"/>
          <w:szCs w:val="32"/>
        </w:rPr>
        <w:t>（一）检疫审批</w:t>
      </w:r>
      <w:r>
        <w:rPr>
          <w:rFonts w:eastAsia="方正楷体_GBK"/>
          <w:b/>
          <w:bCs/>
          <w:sz w:val="32"/>
          <w:szCs w:val="32"/>
        </w:rPr>
        <w:t>。</w:t>
      </w:r>
    </w:p>
    <w:p>
      <w:pPr>
        <w:pStyle w:val="62"/>
        <w:widowControl/>
        <w:spacing w:line="540" w:lineRule="exact"/>
        <w:ind w:firstLineChars="200" w:firstLine="632"/>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进口商应在签订贸易合同前申请取得《进境动植物检疫许可证》。</w:t>
      </w:r>
    </w:p>
    <w:p>
      <w:pPr>
        <w:pStyle w:val="61"/>
        <w:spacing w:line="540" w:lineRule="exact"/>
        <w:ind w:firstLineChars="200" w:firstLine="632"/>
        <w:rPr>
          <w:rFonts w:eastAsia="方正楷体_GBK"/>
          <w:b/>
          <w:bCs/>
          <w:sz w:val="32"/>
          <w:szCs w:val="32"/>
        </w:rPr>
      </w:pPr>
      <w:r>
        <w:rPr>
          <w:rFonts w:eastAsia="方正楷体_GBK"/>
          <w:b/>
          <w:bCs/>
          <w:sz w:val="32"/>
          <w:szCs w:val="32"/>
        </w:rPr>
        <w:t>（二）证单核查。</w:t>
      </w:r>
    </w:p>
    <w:p>
      <w:pPr>
        <w:pStyle w:val="62"/>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1．核查是否附有《进境动植物检疫许可证》；</w:t>
      </w:r>
    </w:p>
    <w:p>
      <w:pPr>
        <w:pStyle w:val="62"/>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2．核查是否来自注册登记企业；</w:t>
      </w:r>
    </w:p>
    <w:p>
      <w:pPr>
        <w:pStyle w:val="62"/>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3．核查</w:t>
      </w:r>
      <w:r>
        <w:rPr>
          <w:rFonts w:ascii="方正仿宋_GBK" w:eastAsia="方正仿宋_GBK" w:cs="Times New Roman" w:hint="eastAsia"/>
          <w:kern w:val="0"/>
          <w:sz w:val="32"/>
          <w:szCs w:val="32"/>
        </w:rPr>
        <w:t>卫生证书</w:t>
      </w:r>
      <w:r>
        <w:rPr>
          <w:rFonts w:ascii="Times New Roman" w:eastAsia="方正仿宋_GBK" w:cs="Times New Roman" w:hAnsi="Times New Roman"/>
          <w:kern w:val="0"/>
          <w:sz w:val="32"/>
          <w:szCs w:val="32"/>
        </w:rPr>
        <w:t>是否真实有效。</w:t>
      </w:r>
    </w:p>
    <w:p>
      <w:pPr>
        <w:pStyle w:val="64"/>
        <w:spacing w:line="540" w:lineRule="exact"/>
        <w:ind w:firstLineChars="200" w:firstLine="632"/>
        <w:rPr>
          <w:rFonts w:eastAsia="方正楷体_GBK"/>
          <w:b/>
          <w:bCs/>
          <w:sz w:val="32"/>
          <w:szCs w:val="32"/>
        </w:rPr>
      </w:pPr>
      <w:r>
        <w:rPr>
          <w:rFonts w:eastAsia="方正楷体_GBK"/>
          <w:b/>
          <w:bCs/>
          <w:sz w:val="32"/>
          <w:szCs w:val="32"/>
        </w:rPr>
        <w:t>（三）</w:t>
      </w:r>
      <w:r>
        <w:rPr>
          <w:rStyle w:val="65Char"/>
          <w:rFonts w:eastAsia="方正楷体_GBK"/>
          <w:b/>
          <w:bCs/>
          <w:sz w:val="32"/>
          <w:szCs w:val="32"/>
        </w:rPr>
        <w:t>货物检查。</w:t>
      </w:r>
    </w:p>
    <w:p>
      <w:pPr>
        <w:pStyle w:val="62"/>
        <w:widowControl/>
        <w:spacing w:line="540" w:lineRule="exact"/>
        <w:ind w:firstLineChars="200" w:firstLine="632"/>
        <w:jc w:val="left"/>
        <w:rPr>
          <w:rFonts w:ascii="Times New Roman" w:eastAsia="方正仿宋_GBK" w:cs="Times New Roman" w:hAnsi="Times New Roman"/>
          <w:kern w:val="0"/>
          <w:sz w:val="32"/>
          <w:szCs w:val="32"/>
        </w:rPr>
      </w:pPr>
      <w:r>
        <w:rPr>
          <w:rFonts w:ascii="Times New Roman" w:eastAsia="方正仿宋_GBK" w:cs="Times New Roman" w:hAnsi="Times New Roman"/>
          <w:kern w:val="0"/>
          <w:sz w:val="32"/>
          <w:szCs w:val="32"/>
        </w:rPr>
        <w:t>根据有关法律、行政法规、规章等规定，结合本要求，对进口</w:t>
      </w:r>
      <w:r>
        <w:rPr>
          <w:rFonts w:ascii="Times New Roman" w:eastAsia="方正仿宋_GBK" w:cs="Times New Roman" w:hAnsi="Times New Roman" w:hint="eastAsia"/>
          <w:kern w:val="0"/>
          <w:sz w:val="32"/>
          <w:szCs w:val="32"/>
        </w:rPr>
        <w:t>捷克配合饲料</w:t>
      </w:r>
      <w:r>
        <w:rPr>
          <w:rFonts w:ascii="Times New Roman" w:eastAsia="方正仿宋_GBK" w:cs="Times New Roman" w:hAnsi="Times New Roman"/>
          <w:kern w:val="0"/>
          <w:sz w:val="32"/>
          <w:szCs w:val="32"/>
        </w:rPr>
        <w:t>实施检验检疫。经检验检疫合格的，准予进境。</w:t>
      </w:r>
    </w:p>
    <w:p>
      <w:pPr>
        <w:pStyle w:val="61"/>
        <w:spacing w:line="540" w:lineRule="exact"/>
        <w:ind w:firstLineChars="200" w:firstLine="632"/>
        <w:rPr>
          <w:rFonts w:eastAsia="方正楷体_GBK"/>
          <w:b/>
          <w:bCs/>
          <w:sz w:val="32"/>
          <w:szCs w:val="32"/>
        </w:rPr>
      </w:pPr>
      <w:r>
        <w:rPr>
          <w:rFonts w:eastAsia="方正楷体_GBK"/>
          <w:b/>
          <w:bCs/>
          <w:sz w:val="32"/>
          <w:szCs w:val="32"/>
        </w:rPr>
        <w:t>（四）不符合情况处理。</w:t>
      </w:r>
    </w:p>
    <w:p>
      <w:pPr>
        <w:pStyle w:val="66"/>
        <w:spacing w:line="540" w:lineRule="exact"/>
        <w:ind w:firstLineChars="200" w:firstLine="632"/>
        <w:rPr>
          <w:rFonts w:eastAsia="方正仿宋_GBK"/>
          <w:sz w:val="32"/>
          <w:szCs w:val="32"/>
        </w:rPr>
      </w:pPr>
      <w:r>
        <w:rPr>
          <w:rFonts w:eastAsia="方正仿宋_GBK"/>
          <w:kern w:val="0"/>
          <w:sz w:val="32"/>
          <w:szCs w:val="32"/>
        </w:rPr>
        <w:t>1</w:t>
      </w:r>
      <w:r>
        <w:rPr>
          <w:rFonts w:eastAsia="方正仿宋_GBK" w:hint="eastAsia"/>
          <w:kern w:val="0"/>
          <w:sz w:val="32"/>
          <w:szCs w:val="32"/>
        </w:rPr>
        <w:t xml:space="preserve">. </w:t>
      </w:r>
      <w:r>
        <w:rPr>
          <w:rFonts w:eastAsia="方正仿宋_GBK" w:hint="eastAsia"/>
          <w:sz w:val="32"/>
          <w:szCs w:val="32"/>
        </w:rPr>
        <w:t>无有效的卫生证书，作退回或销毁处理</w:t>
      </w:r>
      <w:r>
        <w:rPr>
          <w:rFonts w:eastAsia="方正仿宋_GBK"/>
          <w:sz w:val="32"/>
          <w:szCs w:val="32"/>
        </w:rPr>
        <w:t>；</w:t>
      </w:r>
    </w:p>
    <w:p>
      <w:pPr>
        <w:pStyle w:val="66"/>
        <w:spacing w:line="540" w:lineRule="exact"/>
        <w:ind w:firstLineChars="200" w:firstLine="632"/>
        <w:rPr>
          <w:rFonts w:eastAsia="方正仿宋_GBK"/>
          <w:sz w:val="32"/>
          <w:szCs w:val="32"/>
        </w:rPr>
      </w:pPr>
      <w:r>
        <w:rPr>
          <w:rFonts w:eastAsia="方正仿宋_GBK"/>
          <w:sz w:val="32"/>
          <w:szCs w:val="32"/>
        </w:rPr>
        <w:t>2</w:t>
      </w:r>
      <w:r>
        <w:rPr>
          <w:rFonts w:eastAsia="方正仿宋_GBK" w:hint="eastAsia"/>
          <w:kern w:val="0"/>
          <w:sz w:val="32"/>
          <w:szCs w:val="32"/>
        </w:rPr>
        <w:t>. 来自非注册登记境外生产企业的产品，或者来自注册登记境外生产企业的非注册登记产品的，作退回或销毁处理</w:t>
      </w:r>
      <w:r>
        <w:rPr>
          <w:rFonts w:eastAsia="方正仿宋_GBK"/>
          <w:sz w:val="32"/>
          <w:szCs w:val="32"/>
        </w:rPr>
        <w:t>；</w:t>
      </w:r>
    </w:p>
    <w:p>
      <w:pPr>
        <w:pStyle w:val="66"/>
        <w:spacing w:line="540" w:lineRule="exact"/>
        <w:ind w:firstLineChars="200" w:firstLine="632"/>
        <w:rPr>
          <w:rFonts w:eastAsia="方正仿宋_GBK"/>
          <w:sz w:val="32"/>
          <w:szCs w:val="32"/>
        </w:rPr>
      </w:pPr>
      <w:r>
        <w:rPr>
          <w:rFonts w:eastAsia="方正仿宋_GBK"/>
          <w:sz w:val="32"/>
          <w:szCs w:val="32"/>
        </w:rPr>
        <w:t>3</w:t>
      </w:r>
      <w:r>
        <w:rPr>
          <w:rFonts w:eastAsia="方正仿宋_GBK" w:hint="eastAsia"/>
          <w:kern w:val="0"/>
          <w:sz w:val="32"/>
          <w:szCs w:val="32"/>
        </w:rPr>
        <w:t xml:space="preserve">. </w:t>
      </w:r>
      <w:r>
        <w:rPr>
          <w:rFonts w:eastAsia="方正仿宋_GBK" w:hint="eastAsia"/>
          <w:sz w:val="32"/>
          <w:szCs w:val="32"/>
        </w:rPr>
        <w:t>检出未经中国官方批准的转基因成份，作退回或销毁处理</w:t>
      </w:r>
      <w:r>
        <w:rPr>
          <w:rFonts w:eastAsia="方正仿宋_GBK"/>
          <w:sz w:val="32"/>
          <w:szCs w:val="32"/>
        </w:rPr>
        <w:t>；</w:t>
      </w:r>
    </w:p>
    <w:p>
      <w:pPr>
        <w:pStyle w:val="67"/>
        <w:snapToGrid w:val="0"/>
        <w:spacing w:line="540" w:lineRule="exact"/>
        <w:ind w:left="113" w:firstLineChars="177" w:firstLine="559"/>
        <w:rPr>
          <w:rFonts w:eastAsia="方正仿宋_GBK" w:hint="eastAsia"/>
          <w:sz w:val="32"/>
          <w:szCs w:val="32"/>
        </w:rPr>
      </w:pPr>
      <w:r>
        <w:rPr>
          <w:rFonts w:eastAsia="方正仿宋_GBK"/>
          <w:sz w:val="32"/>
          <w:szCs w:val="32"/>
        </w:rPr>
        <w:t>4</w:t>
      </w:r>
      <w:r>
        <w:rPr>
          <w:rFonts w:eastAsia="方正仿宋_GBK" w:hint="eastAsia"/>
          <w:kern w:val="0"/>
          <w:sz w:val="32"/>
          <w:szCs w:val="32"/>
        </w:rPr>
        <w:t xml:space="preserve">. </w:t>
      </w:r>
      <w:r>
        <w:rPr>
          <w:rFonts w:eastAsia="方正仿宋_GBK" w:hint="eastAsia"/>
          <w:sz w:val="32"/>
          <w:szCs w:val="32"/>
        </w:rPr>
        <w:t xml:space="preserve">检出未经批准的动物源性成份的，作退回或销毁处理； </w:t>
      </w:r>
    </w:p>
    <w:p>
      <w:pPr>
        <w:pStyle w:val="67"/>
        <w:snapToGrid w:val="0"/>
        <w:spacing w:line="540" w:lineRule="exact"/>
        <w:ind w:left="113" w:firstLineChars="177" w:firstLine="559"/>
        <w:rPr>
          <w:rFonts w:eastAsia="方正仿宋_GBK" w:hint="eastAsia"/>
          <w:sz w:val="32"/>
          <w:szCs w:val="32"/>
        </w:rPr>
      </w:pPr>
      <w:r>
        <w:rPr>
          <w:rFonts w:eastAsia="方正仿宋_GBK" w:hint="eastAsia"/>
          <w:sz w:val="32"/>
          <w:szCs w:val="32"/>
        </w:rPr>
        <w:t>5. 发现土壤、动物尸体、动物排泄物或其他禁止进境物，按照相关法律法规作</w:t>
      </w:r>
      <w:r>
        <w:rPr>
          <w:rFonts w:eastAsia="方正仿宋_GBK"/>
          <w:sz w:val="32"/>
          <w:szCs w:val="32"/>
        </w:rPr>
        <w:t>除害</w:t>
      </w:r>
      <w:r>
        <w:rPr>
          <w:rFonts w:eastAsia="方正仿宋_GBK" w:hint="eastAsia"/>
          <w:sz w:val="32"/>
          <w:szCs w:val="32"/>
        </w:rPr>
        <w:t>、退回或销毁处理</w:t>
      </w:r>
      <w:r>
        <w:rPr>
          <w:rFonts w:eastAsia="方正仿宋_GBK"/>
          <w:sz w:val="32"/>
          <w:szCs w:val="32"/>
        </w:rPr>
        <w:t>。</w:t>
      </w:r>
    </w:p>
    <w:p>
      <w:pPr>
        <w:pStyle w:val="67"/>
        <w:snapToGrid w:val="0"/>
        <w:spacing w:line="540" w:lineRule="exact"/>
        <w:ind w:left="113" w:firstLineChars="177" w:firstLine="559"/>
        <w:rPr>
          <w:rFonts w:eastAsia="方正仿宋_GBK" w:hint="eastAsia"/>
          <w:sz w:val="32"/>
          <w:szCs w:val="32"/>
        </w:rPr>
      </w:pPr>
      <w:r>
        <w:rPr>
          <w:rFonts w:eastAsia="方正仿宋_GBK" w:hint="eastAsia"/>
          <w:sz w:val="32"/>
          <w:szCs w:val="32"/>
        </w:rPr>
        <w:t>6. 经检测发现安全卫生项目不符合中国饲料卫生标准的，作除害、退回或者销毁处理。</w:t>
      </w:r>
    </w:p>
    <w:p>
      <w:pPr>
        <w:pStyle w:val="67"/>
        <w:snapToGrid w:val="0"/>
        <w:spacing w:line="540" w:lineRule="exact"/>
        <w:ind w:left="113" w:firstLineChars="177" w:firstLine="559"/>
        <w:rPr>
          <w:rFonts w:eastAsia="方正仿宋_GBK"/>
          <w:sz w:val="32"/>
          <w:szCs w:val="32"/>
        </w:rPr>
      </w:pPr>
      <w:r>
        <w:rPr>
          <w:rFonts w:eastAsia="方正仿宋_GBK" w:hint="eastAsia"/>
          <w:sz w:val="32"/>
          <w:szCs w:val="32"/>
        </w:rPr>
        <w:t>7. 发现散包、容器破裂的，由货主或代理人负责整理完好。包装破损且有传播动植物疫病风险的，应当对所污染的场地、物品、器具进行检疫处理。</w:t>
      </w:r>
    </w:p>
    <w:p>
      <w:pPr>
        <w:pStyle w:val="66"/>
        <w:spacing w:line="540" w:lineRule="exact"/>
        <w:ind w:firstLineChars="200" w:firstLine="632"/>
        <w:rPr>
          <w:rFonts w:eastAsia="方正仿宋_GBK"/>
          <w:kern w:val="0"/>
          <w:sz w:val="32"/>
          <w:szCs w:val="32"/>
        </w:rPr>
      </w:pPr>
      <w:r>
        <w:rPr>
          <w:rFonts w:eastAsia="方正仿宋_GBK" w:hint="eastAsia"/>
          <w:sz w:val="32"/>
          <w:szCs w:val="32"/>
        </w:rPr>
        <w:t>发现</w:t>
      </w:r>
      <w:r>
        <w:rPr>
          <w:rFonts w:eastAsia="方正仿宋_GBK" w:hint="eastAsia"/>
          <w:color w:val="000000"/>
          <w:sz w:val="32"/>
          <w:szCs w:val="32"/>
        </w:rPr>
        <w:t>重大安全卫生问题</w:t>
      </w:r>
      <w:r>
        <w:rPr>
          <w:rFonts w:eastAsia="方正仿宋_GBK" w:hint="eastAsia"/>
          <w:sz w:val="32"/>
          <w:szCs w:val="32"/>
        </w:rPr>
        <w:t>，中国海关总署向捷克共和国农业部通报，并视情采取暂停相关出口企业甚至暂停捷克相关产品输华等措施。</w:t>
      </w:r>
    </w:p>
    <w:p>
      <w:pPr>
        <w:pStyle w:val="63"/>
        <w:spacing w:line="560" w:lineRule="exact"/>
        <w:ind w:firstLineChars="200" w:firstLine="632"/>
        <w:rPr>
          <w:rFonts w:eastAsia="方正仿宋_GBK"/>
          <w:kern w:val="0"/>
          <w:sz w:val="32"/>
          <w:szCs w:val="32"/>
        </w:rPr>
      </w:pPr>
    </w:p>
    <w:p>
      <w:pPr>
        <w:spacing w:line="560" w:lineRule="exact"/>
        <w:ind w:firstLine="200"/>
        <w:jc w:val="left"/>
        <w:rPr>
          <w:spacing w:val="4"/>
        </w:rPr>
      </w:pPr>
    </w:p>
    <w:sectPr>
      <w:footerReference w:type="default" r:id="rId2"/>
      <w:footerReference w:type="even" r:id="rId3"/>
      <w:pgSz w:w="11907" w:h="16840"/>
      <w:pgMar w:top="1871" w:right="1701" w:bottom="1871" w:left="1701" w:header="1814" w:footer="1474" w:gutter="0"/>
      <w:pgNumType w:start="1"/>
      <w:docGrid w:type="linesAndChars" w:linePitch="580" w:charSpace="-841"/>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仿宋简体">
    <w:altName w:val="宋体"/>
    <w:panose1 w:val="02010601030101010101"/>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SimSun">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0000000000000000000"/>
    <w:charset w:val="86"/>
    <w:family w:val="auto"/>
    <w:pitch w:val="variable"/>
    <w:sig w:usb0="00000000" w:usb1="38CF7CFA" w:usb2="00000016" w:usb3="00000000" w:csb0="0004000F" w:csb1="00000000"/>
  </w:font>
  <w:font w:name="Haansoft Batang">
    <w:altName w:val="宋体"/>
    <w:panose1 w:val="00000000000000000000"/>
    <w:charset w:val="86"/>
    <w:family w:val="roman"/>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46"/>
      <w:tabs>
        <w:tab w:val="center" w:pos="4153"/>
        <w:tab w:val="right" w:pos="8307"/>
      </w:tabs>
      <w:jc w:val="center"/>
      <w:rPr>
        <w:sz w:val="32"/>
        <w:szCs w:val="32"/>
      </w:rPr>
    </w:pPr>
    <w:r>
      <w:rPr>
        <w:sz w:val="32"/>
        <w:szCs w:val="32"/>
      </w:rPr>
      <w:fldChar w:fldCharType="begin"/>
    </w:r>
    <w:r>
      <w:rPr>
        <w:sz w:val="32"/>
        <w:szCs w:val="32"/>
      </w:rPr>
      <w:instrText>Page</w:instrText>
    </w:r>
    <w:r>
      <w:rPr>
        <w:sz w:val="32"/>
        <w:szCs w:val="32"/>
      </w:rPr>
      <w:fldChar w:fldCharType="separate"/>
    </w:r>
    <w:r>
      <w:rPr>
        <w:sz w:val="32"/>
        <w:szCs w:val="32"/>
      </w:rPr>
      <w:t>4</w:t>
    </w:r>
    <w:r>
      <w:rPr>
        <w:sz w:val="32"/>
        <w:szCs w:val="32"/>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68"/>
      </w:rPr>
      <w:fldChar w:fldCharType="begin"/>
    </w:r>
    <w:r>
      <w:rPr>
        <w:rStyle w:val="68"/>
      </w:rPr>
      <w:instrText>Page</w:instrText>
    </w:r>
    <w:r>
      <w:rPr>
        <w:rStyle w:val="68"/>
      </w:rPr>
      <w:fldChar w:fldCharType="separate"/>
    </w:r>
    <w:r>
      <w:rPr>
        <w:rStyle w:val="68"/>
      </w:rPr>
      <w:t>0</w:t>
    </w:r>
    <w:r>
      <w:rPr>
        <w:rStyle w:val="68"/>
      </w:rPr>
      <w:fldChar w:fldCharType="end"/>
    </w:r>
  </w:p>
  <w:p>
    <w:pPr>
      <w:pStyle w:val="19"/>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trackRevisions/>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index 8"/>
    <w:basedOn w:val="0"/>
    <w:autoRedefine/>
    <w:next w:val="0"/>
    <w:pPr>
      <w:ind w:left="2940"/>
    </w:pPr>
  </w:style>
  <w:style w:type="paragraph" w:styleId="16">
    <w:name w:val="toc 2"/>
    <w:basedOn w:val="0"/>
    <w:autoRedefine/>
    <w:next w:val="0"/>
    <w:pPr>
      <w:ind w:left="420"/>
    </w:pPr>
  </w:style>
  <w:style w:type="paragraph" w:styleId="17">
    <w:name w:val="toc 8"/>
    <w:basedOn w:val="0"/>
    <w:autoRedefine/>
    <w:next w:val="0"/>
    <w:pPr>
      <w:ind w:left="2940"/>
    </w:pPr>
  </w:style>
  <w:style w:type="paragraph" w:styleId="18">
    <w:name w:val="header"/>
    <w:basedOn w:val="0"/>
    <w:pPr>
      <w:pBdr>
        <w:bottom w:val="single" w:sz="6" w:space="1" w:color="auto"/>
      </w:pBdr>
      <w:tabs>
        <w:tab w:val="center" w:pos="4153"/>
        <w:tab w:val="right" w:pos="8307"/>
      </w:tabs>
      <w:snapToGrid w:val="0"/>
      <w:jc w:val="center"/>
    </w:pPr>
    <w:rPr>
      <w:sz w:val="18"/>
    </w:rPr>
  </w:style>
  <w:style w:type="paragraph" w:styleId="19">
    <w:name w:val="footer"/>
    <w:basedOn w:val="0"/>
    <w:pPr>
      <w:tabs>
        <w:tab w:val="center" w:pos="4153"/>
        <w:tab w:val="right" w:pos="8307"/>
      </w:tabs>
      <w:snapToGrid w:val="0"/>
      <w:jc w:val="left"/>
    </w:pPr>
    <w:rPr>
      <w:sz w:val="18"/>
    </w:rPr>
  </w:style>
  <w:style w:type="paragraph" w:styleId="20">
    <w:name w:val="endnote text"/>
    <w:basedOn w:val="0"/>
    <w:pPr>
      <w:snapToGrid w:val="0"/>
      <w:jc w:val="left"/>
    </w:pPr>
  </w:style>
  <w:style w:type="paragraph" w:styleId="21">
    <w:name w:val="List Bullet"/>
    <w:basedOn w:val="0"/>
    <w:pPr>
      <w:tabs>
        <w:tab w:val="left" w:pos="360"/>
      </w:tabs>
      <w:ind w:left="360" w:hanging="360"/>
    </w:pPr>
  </w:style>
  <w:style w:type="paragraph" w:styleId="22">
    <w:name w:val="List Number"/>
    <w:basedOn w:val="0"/>
    <w:pPr>
      <w:tabs>
        <w:tab w:val="left" w:pos="360"/>
      </w:tabs>
      <w:ind w:left="360" w:hanging="360"/>
    </w:pPr>
  </w:style>
  <w:style w:type="paragraph" w:styleId="23">
    <w:name w:val="List 4"/>
    <w:basedOn w:val="0"/>
    <w:pPr>
      <w:ind w:left="1680" w:hanging="420"/>
    </w:pPr>
  </w:style>
  <w:style w:type="paragraph" w:styleId="24">
    <w:name w:val="List 5"/>
    <w:basedOn w:val="0"/>
    <w:pPr>
      <w:ind w:left="2100" w:hanging="420"/>
    </w:pPr>
  </w:style>
  <w:style w:type="paragraph" w:styleId="25">
    <w:name w:val="List Bullet 4"/>
    <w:basedOn w:val="0"/>
    <w:pPr>
      <w:tabs>
        <w:tab w:val="left" w:pos="1620"/>
      </w:tabs>
      <w:ind w:left="1620" w:hanging="360"/>
    </w:pPr>
  </w:style>
  <w:style w:type="paragraph" w:styleId="26">
    <w:name w:val="List Number 3"/>
    <w:basedOn w:val="0"/>
    <w:pPr>
      <w:tabs>
        <w:tab w:val="left" w:pos="1200"/>
      </w:tabs>
      <w:ind w:left="1200" w:hanging="360"/>
    </w:pPr>
  </w:style>
  <w:style w:type="paragraph" w:styleId="27">
    <w:name w:val="List Number 5"/>
    <w:basedOn w:val="0"/>
    <w:pPr>
      <w:tabs>
        <w:tab w:val="left" w:pos="2040"/>
      </w:tabs>
      <w:ind w:left="2040" w:hanging="360"/>
    </w:pPr>
  </w:style>
  <w:style w:type="paragraph" w:styleId="28">
    <w:name w:val="Title"/>
    <w:basedOn w:val="0"/>
    <w:pPr>
      <w:spacing w:before="240" w:after="60"/>
      <w:jc w:val="center"/>
      <w:outlineLvl w:val="0"/>
    </w:pPr>
    <w:rPr>
      <w:rFonts w:ascii="Arial" w:hAnsi="Arial"/>
      <w:b/>
    </w:rPr>
  </w:style>
  <w:style w:type="paragraph" w:styleId="29">
    <w:name w:val="Signature"/>
    <w:basedOn w:val="0"/>
    <w:pPr>
      <w:ind w:left="4320"/>
    </w:pPr>
  </w:style>
  <w:style w:type="paragraph" w:styleId="30">
    <w:name w:val="List Continue 4"/>
    <w:basedOn w:val="0"/>
    <w:pPr>
      <w:spacing w:after="120"/>
      <w:ind w:left="1680"/>
    </w:pPr>
  </w:style>
  <w:style w:type="paragraph" w:styleId="31">
    <w:name w:val="Body Text 2"/>
    <w:basedOn w:val="0"/>
    <w:pPr>
      <w:spacing w:after="120" w:line="480" w:lineRule="auto"/>
    </w:pPr>
  </w:style>
  <w:style w:type="paragraph" w:customStyle="1" w:styleId="32">
    <w:name w:val="样式 1 小四"/>
    <w:next w:val="17"/>
    <w:rPr>
      <w:rFonts w:ascii="Times New Roman" w:eastAsia="SimSun" w:cs="Times New Roman" w:hAnsi="Times New Roman"/>
      <w:sz w:val="24"/>
      <w:szCs w:val="24"/>
      <w:lang w:val="en-US" w:eastAsia="en-US" w:bidi="ar-SA"/>
    </w:rPr>
  </w:style>
  <w:style w:type="paragraph" w:customStyle="1" w:styleId="33">
    <w:name w:val="样式 33 10 磅"/>
    <w:next w:val="30"/>
    <w:pPr>
      <w:widowControl w:val="0"/>
      <w:jc w:val="both"/>
    </w:pPr>
    <w:rPr>
      <w:rFonts w:ascii="Calibri" w:eastAsia="SimSun" w:cs="Times New Roman" w:hAnsi="Calibri"/>
      <w:kern w:val="2"/>
      <w:sz w:val="21"/>
      <w:szCs w:val="22"/>
      <w:lang w:val="en-US" w:eastAsia="zh-CN" w:bidi="ar-SA"/>
    </w:rPr>
  </w:style>
  <w:style w:type="paragraph" w:customStyle="1" w:styleId="34">
    <w:name w:val="样式 15 10 磅"/>
    <w:next w:val="21"/>
    <w:pPr>
      <w:widowControl w:val="0"/>
      <w:jc w:val="both"/>
    </w:pPr>
    <w:rPr>
      <w:rFonts w:ascii="Calibri" w:eastAsia="宋体" w:cs="Times New Roman" w:hAnsi="Calibri"/>
      <w:kern w:val="2"/>
      <w:sz w:val="21"/>
      <w:szCs w:val="22"/>
      <w:lang w:val="en-US" w:eastAsia="zh-CN" w:bidi="ar-SA"/>
    </w:rPr>
  </w:style>
  <w:style w:type="paragraph" w:customStyle="1" w:styleId="35">
    <w:name w:val="样式 42 10 磅"/>
    <w:next w:val="31"/>
    <w:pPr>
      <w:widowControl w:val="0"/>
      <w:jc w:val="both"/>
    </w:pPr>
    <w:rPr>
      <w:rFonts w:ascii="Calibri" w:eastAsia="SimSun" w:cs="Times New Roman" w:hAnsi="Calibri"/>
      <w:kern w:val="2"/>
      <w:sz w:val="21"/>
      <w:szCs w:val="22"/>
      <w:lang w:val="en-US" w:eastAsia="zh-CN" w:bidi="ar-SA"/>
    </w:rPr>
  </w:style>
  <w:style w:type="paragraph" w:customStyle="1" w:styleId="36">
    <w:name w:val="样式 10 10 磅"/>
    <w:next w:val="20"/>
    <w:pPr>
      <w:widowControl w:val="0"/>
      <w:jc w:val="both"/>
    </w:pPr>
    <w:rPr>
      <w:rFonts w:ascii="Calibri" w:eastAsia="宋体" w:cs="Times New Roman" w:hAnsi="Calibri"/>
      <w:kern w:val="2"/>
      <w:sz w:val="21"/>
      <w:szCs w:val="22"/>
      <w:lang w:val="en-US" w:eastAsia="zh-CN" w:bidi="ar-SA"/>
    </w:rPr>
  </w:style>
  <w:style w:type="paragraph" w:customStyle="1" w:styleId="37">
    <w:name w:val="样式 16 10 磅"/>
    <w:next w:val="22"/>
    <w:pPr>
      <w:widowControl w:val="0"/>
      <w:jc w:val="both"/>
    </w:pPr>
    <w:rPr>
      <w:rFonts w:ascii="Calibri" w:eastAsia="宋体" w:cs="Times New Roman" w:hAnsi="Calibri"/>
      <w:kern w:val="2"/>
      <w:sz w:val="21"/>
      <w:szCs w:val="22"/>
      <w:lang w:val="en-US" w:eastAsia="zh-CN" w:bidi="ar-SA"/>
    </w:rPr>
  </w:style>
  <w:style w:type="paragraph" w:customStyle="1" w:styleId="38">
    <w:name w:val="样式 26 10 磅"/>
    <w:next w:val="27"/>
    <w:pPr>
      <w:widowControl w:val="0"/>
      <w:jc w:val="both"/>
    </w:pPr>
    <w:rPr>
      <w:rFonts w:ascii="Calibri" w:eastAsia="宋体" w:cs="Times New Roman" w:hAnsi="Calibri"/>
      <w:kern w:val="2"/>
      <w:sz w:val="21"/>
      <w:szCs w:val="22"/>
      <w:lang w:val="en-US" w:eastAsia="zh-CN" w:bidi="ar-SA"/>
    </w:rPr>
  </w:style>
  <w:style w:type="paragraph" w:customStyle="1" w:styleId="39">
    <w:name w:val="样式 27 10 磅"/>
    <w:next w:val="28"/>
    <w:pPr>
      <w:widowControl w:val="0"/>
      <w:jc w:val="both"/>
    </w:pPr>
    <w:rPr>
      <w:rFonts w:ascii="Calibri" w:eastAsia="宋体" w:cs="Times New Roman" w:hAnsi="Calibri"/>
      <w:kern w:val="2"/>
      <w:sz w:val="21"/>
      <w:szCs w:val="22"/>
      <w:lang w:val="en-US" w:eastAsia="zh-CN" w:bidi="ar-SA"/>
    </w:rPr>
  </w:style>
  <w:style w:type="paragraph" w:customStyle="1" w:styleId="40">
    <w:name w:val="样式 17 10 磅"/>
    <w:next w:val="23"/>
    <w:pPr>
      <w:widowControl w:val="0"/>
      <w:jc w:val="both"/>
    </w:pPr>
    <w:rPr>
      <w:rFonts w:ascii="Calibri" w:eastAsia="宋体" w:cs="Times New Roman" w:hAnsi="Calibri"/>
      <w:kern w:val="2"/>
      <w:sz w:val="21"/>
      <w:szCs w:val="22"/>
      <w:lang w:val="en-US" w:eastAsia="zh-CN" w:bidi="ar-SA"/>
    </w:rPr>
  </w:style>
  <w:style w:type="paragraph" w:customStyle="1" w:styleId="41">
    <w:name w:val="样式 21 10 磅"/>
    <w:next w:val="25"/>
    <w:pPr>
      <w:widowControl w:val="0"/>
      <w:jc w:val="both"/>
    </w:pPr>
    <w:rPr>
      <w:rFonts w:ascii="Calibri" w:eastAsia="宋体" w:cs="Times New Roman" w:hAnsi="Calibri"/>
      <w:kern w:val="2"/>
      <w:sz w:val="21"/>
      <w:szCs w:val="22"/>
      <w:lang w:val="en-US" w:eastAsia="zh-CN" w:bidi="ar-SA"/>
    </w:rPr>
  </w:style>
  <w:style w:type="paragraph" w:customStyle="1" w:styleId="42">
    <w:name w:val="样式 18 10 磅"/>
    <w:next w:val="24"/>
    <w:pPr>
      <w:widowControl w:val="0"/>
      <w:jc w:val="both"/>
    </w:pPr>
    <w:rPr>
      <w:rFonts w:ascii="Calibri" w:eastAsia="宋体" w:cs="Times New Roman" w:hAnsi="Calibri"/>
      <w:kern w:val="2"/>
      <w:sz w:val="21"/>
      <w:szCs w:val="22"/>
      <w:lang w:val="en-US" w:eastAsia="zh-CN" w:bidi="ar-SA"/>
    </w:rPr>
  </w:style>
  <w:style w:type="paragraph" w:customStyle="1" w:styleId="43">
    <w:name w:val="样式 24 10 磅"/>
    <w:next w:val="26"/>
    <w:pPr>
      <w:widowControl w:val="0"/>
      <w:jc w:val="both"/>
    </w:pPr>
    <w:rPr>
      <w:rFonts w:ascii="Calibri" w:eastAsia="宋体" w:cs="Times New Roman" w:hAnsi="Calibri"/>
      <w:kern w:val="2"/>
      <w:sz w:val="21"/>
      <w:szCs w:val="22"/>
      <w:lang w:val="en-US" w:eastAsia="zh-CN" w:bidi="ar-SA"/>
    </w:rPr>
  </w:style>
  <w:style w:type="paragraph" w:customStyle="1" w:styleId="44">
    <w:name w:val="样式 29 10 磅"/>
    <w:next w:val="29"/>
    <w:pPr>
      <w:widowControl w:val="0"/>
      <w:jc w:val="both"/>
    </w:pPr>
    <w:rPr>
      <w:rFonts w:ascii="Calibri" w:eastAsia="宋体" w:cs="Times New Roman" w:hAnsi="Calibri"/>
      <w:kern w:val="2"/>
      <w:sz w:val="21"/>
      <w:szCs w:val="22"/>
      <w:lang w:val="en-US" w:eastAsia="zh-CN" w:bidi="ar-SA"/>
    </w:rPr>
  </w:style>
  <w:style w:type="paragraph" w:customStyle="1" w:styleId="45">
    <w:name w:val="列出段落1"/>
    <w:next w:val="15"/>
    <w:pPr>
      <w:widowControl w:val="0"/>
      <w:ind w:left="720"/>
      <w:contextualSpacing/>
      <w:jc w:val="both"/>
    </w:pPr>
    <w:rPr>
      <w:rFonts w:ascii="Calibri" w:eastAsia="宋体" w:cs="Times New Roman" w:hAnsi="Calibri"/>
      <w:kern w:val="2"/>
      <w:sz w:val="21"/>
      <w:szCs w:val="22"/>
      <w:lang w:val="en-US" w:eastAsia="zh-CN" w:bidi="ar-SA"/>
    </w:rPr>
  </w:style>
  <w:style w:type="paragraph" w:customStyle="1" w:styleId="46">
    <w:name w:val="样式 小五"/>
    <w:pPr>
      <w:widowControl w:val="0"/>
      <w:tabs>
        <w:tab w:val="center" w:pos="4153"/>
        <w:tab w:val="right" w:pos="8307"/>
      </w:tabs>
      <w:snapToGrid w:val="0"/>
    </w:pPr>
    <w:rPr>
      <w:rFonts w:ascii="Times New Roman" w:eastAsia="方正仿宋_GBK" w:cs="Times New Roman" w:hAnsi="Times New Roman"/>
      <w:kern w:val="2"/>
      <w:sz w:val="18"/>
      <w:lang w:val="en-US" w:eastAsia="zh-CN" w:bidi="ar-SA"/>
    </w:rPr>
  </w:style>
  <w:style w:type="paragraph" w:customStyle="1" w:styleId="47">
    <w:name w:val="样式 10 磅"/>
    <w:pPr>
      <w:widowControl w:val="0"/>
      <w:jc w:val="both"/>
    </w:pPr>
    <w:rPr>
      <w:rFonts w:ascii="Calibri" w:eastAsia="宋体" w:cs="Times New Roman" w:hAnsi="Calibri"/>
      <w:kern w:val="2"/>
      <w:sz w:val="21"/>
      <w:szCs w:val="22"/>
      <w:lang w:val="en-US" w:eastAsia="zh-CN" w:bidi="ar-SA"/>
    </w:rPr>
  </w:style>
  <w:style w:type="paragraph" w:customStyle="1" w:styleId="48">
    <w:name w:val="样式 小四"/>
    <w:rPr>
      <w:rFonts w:ascii="Times New Roman" w:eastAsia="SimSun" w:cs="Times New Roman" w:hAnsi="Times New Roman"/>
      <w:sz w:val="24"/>
      <w:szCs w:val="24"/>
      <w:lang w:val="en-US" w:eastAsia="en-US" w:bidi="ar-SA"/>
    </w:rPr>
  </w:style>
  <w:style w:type="paragraph" w:styleId="49">
    <w:name w:val="Balloon Text"/>
    <w:basedOn w:val="0"/>
    <w:rPr>
      <w:sz w:val="18"/>
      <w:szCs w:val="18"/>
    </w:rPr>
  </w:style>
  <w:style w:type="paragraph" w:customStyle="1" w:styleId="50">
    <w:name w:val="样式 20 10 磅"/>
    <w:next w:val="51"/>
    <w:pPr>
      <w:widowControl w:val="0"/>
      <w:jc w:val="both"/>
    </w:pPr>
    <w:rPr>
      <w:rFonts w:ascii="Times New Roman" w:eastAsia="宋体" w:cs="Times New Roman" w:hAnsi="Times New Roman"/>
      <w:kern w:val="2"/>
      <w:sz w:val="21"/>
      <w:szCs w:val="24"/>
      <w:lang w:val="en-NZ" w:eastAsia="zh-CN" w:bidi="ar-SA"/>
    </w:rPr>
  </w:style>
  <w:style w:type="paragraph" w:styleId="51">
    <w:name w:val="Normal Indent"/>
    <w:basedOn w:val="0"/>
    <w:pPr>
      <w:ind w:firstLineChars="200" w:firstLine="200"/>
    </w:pPr>
  </w:style>
  <w:style w:type="paragraph" w:customStyle="1" w:styleId="52">
    <w:name w:val="样式 11 10 磅"/>
    <w:pPr>
      <w:widowControl w:val="0"/>
      <w:jc w:val="both"/>
    </w:pPr>
    <w:rPr>
      <w:rFonts w:ascii="等线" w:eastAsia="等线" w:cs="Arial"/>
      <w:kern w:val="2"/>
      <w:sz w:val="21"/>
      <w:szCs w:val="22"/>
      <w:lang w:val="en-US" w:eastAsia="zh-CN" w:bidi="ar-SA"/>
    </w:rPr>
  </w:style>
  <w:style w:type="paragraph" w:customStyle="1" w:styleId="53">
    <w:name w:val="바탕글"/>
    <w:basedOn w:val="0"/>
    <w:pPr>
      <w:widowControl/>
      <w:snapToGrid w:val="0"/>
      <w:spacing w:line="384" w:lineRule="auto"/>
    </w:pPr>
    <w:rPr>
      <w:rFonts w:ascii="Haansoft Batang" w:eastAsia="Haansoft Batang" w:cs="Haansoft Batang" w:hAnsi="Haansoft Batang"/>
      <w:color w:val="000000"/>
      <w:kern w:val="0"/>
      <w:sz w:val="20"/>
    </w:rPr>
  </w:style>
  <w:style w:type="paragraph" w:customStyle="1" w:styleId="54">
    <w:name w:val="样式 38 10 磅"/>
    <w:next w:val="55"/>
    <w:pPr>
      <w:widowControl w:val="0"/>
      <w:jc w:val="both"/>
    </w:pPr>
    <w:rPr>
      <w:rFonts w:ascii="Times New Roman" w:eastAsia="宋体" w:cs="Times New Roman" w:hAnsi="Times New Roman"/>
      <w:kern w:val="2"/>
      <w:sz w:val="21"/>
      <w:szCs w:val="24"/>
      <w:lang w:val="en-US" w:eastAsia="zh-CN" w:bidi="ar-SA"/>
    </w:rPr>
  </w:style>
  <w:style w:type="paragraph" w:styleId="55">
    <w:name w:val="List Bullet 2"/>
    <w:basedOn w:val="0"/>
    <w:pPr>
      <w:tabs>
        <w:tab w:val="left" w:pos="720"/>
      </w:tabs>
      <w:ind w:left="720" w:hanging="720"/>
      <w:contextualSpacing/>
    </w:pPr>
  </w:style>
  <w:style w:type="paragraph" w:customStyle="1" w:styleId="56">
    <w:name w:val="样式 32 10 磅"/>
    <w:next w:val="22"/>
    <w:pPr>
      <w:widowControl w:val="0"/>
      <w:jc w:val="both"/>
    </w:pPr>
    <w:rPr>
      <w:rFonts w:ascii="Times New Roman" w:eastAsia="宋体" w:cs="Times New Roman" w:hAnsi="Times New Roman"/>
      <w:kern w:val="2"/>
      <w:sz w:val="21"/>
      <w:szCs w:val="24"/>
      <w:lang w:val="en-NZ" w:eastAsia="zh-CN" w:bidi="ar-SA"/>
    </w:rPr>
  </w:style>
  <w:style w:type="paragraph" w:customStyle="1" w:styleId="57">
    <w:name w:val="样式 19 10 磅"/>
    <w:pPr>
      <w:snapToGrid w:val="0"/>
      <w:spacing w:line="384" w:lineRule="auto"/>
      <w:jc w:val="both"/>
    </w:pPr>
    <w:rPr>
      <w:rFonts w:ascii="Haansoft Batang" w:eastAsia="Haansoft Batang" w:cs="Haansoft Batang" w:hAnsi="Haansoft Batang"/>
      <w:color w:val="000000"/>
      <w:sz w:val="21"/>
      <w:szCs w:val="21"/>
      <w:lang w:val="en-US" w:eastAsia="zh-CN" w:bidi="ar-SA"/>
    </w:rPr>
  </w:style>
  <w:style w:type="paragraph" w:customStyle="1" w:styleId="58">
    <w:name w:val="样式 48 10 磅"/>
    <w:next w:val="29"/>
    <w:pPr>
      <w:widowControl w:val="0"/>
      <w:jc w:val="both"/>
    </w:pPr>
    <w:rPr>
      <w:rFonts w:ascii="Times New Roman" w:eastAsia="宋体" w:cs="Times New Roman" w:hAnsi="Times New Roman"/>
      <w:kern w:val="2"/>
      <w:sz w:val="21"/>
      <w:szCs w:val="24"/>
      <w:lang w:val="en-NZ" w:eastAsia="zh-CN" w:bidi="ar-SA"/>
    </w:rPr>
  </w:style>
  <w:style w:type="paragraph" w:customStyle="1" w:styleId="59">
    <w:name w:val="样式 49 10 磅"/>
    <w:next w:val="60"/>
    <w:pPr>
      <w:widowControl w:val="0"/>
      <w:jc w:val="both"/>
    </w:pPr>
    <w:rPr>
      <w:rFonts w:ascii="Times New Roman" w:eastAsia="宋体" w:cs="Times New Roman" w:hAnsi="Times New Roman"/>
      <w:kern w:val="2"/>
      <w:sz w:val="21"/>
      <w:szCs w:val="24"/>
      <w:lang w:val="en-US" w:eastAsia="zh-CN" w:bidi="ar-SA"/>
    </w:rPr>
  </w:style>
  <w:style w:type="paragraph" w:styleId="60">
    <w:name w:val="Body Text"/>
    <w:basedOn w:val="0"/>
    <w:pPr>
      <w:spacing w:after="120"/>
    </w:pPr>
  </w:style>
  <w:style w:type="paragraph" w:customStyle="1" w:styleId="61">
    <w:name w:val="样式 4"/>
    <w:rPr>
      <w:rFonts w:ascii="Times New Roman" w:eastAsia="宋体" w:cs="Times New Roman" w:hAnsi="Times New Roman"/>
      <w:lang w:val="en-US" w:eastAsia="zh-CN" w:bidi="ar-SA"/>
    </w:rPr>
  </w:style>
  <w:style w:type="paragraph" w:customStyle="1" w:styleId="62">
    <w:name w:val="样式 87 10 磅"/>
    <w:pPr>
      <w:widowControl w:val="0"/>
      <w:jc w:val="both"/>
    </w:pPr>
    <w:rPr>
      <w:rFonts w:ascii="Calibri" w:eastAsia="宋体" w:cs="Arial" w:hAnsi="Calibri"/>
      <w:kern w:val="2"/>
      <w:sz w:val="21"/>
      <w:szCs w:val="24"/>
      <w:lang w:val="en-US" w:eastAsia="zh-CN" w:bidi="ar-SA"/>
    </w:rPr>
  </w:style>
  <w:style w:type="paragraph" w:customStyle="1" w:styleId="63">
    <w:name w:val="样式 82 10 磅"/>
    <w:pPr>
      <w:widowControl w:val="0"/>
      <w:jc w:val="both"/>
    </w:pPr>
    <w:rPr>
      <w:rFonts w:ascii="Times New Roman" w:eastAsia="宋体" w:cs="Times New Roman" w:hAnsi="Times New Roman"/>
      <w:kern w:val="2"/>
      <w:sz w:val="21"/>
      <w:lang w:val="en-US" w:eastAsia="zh-CN" w:bidi="ar-SA"/>
    </w:rPr>
  </w:style>
  <w:style w:type="paragraph" w:customStyle="1" w:styleId="64">
    <w:name w:val="样式 5"/>
    <w:rPr>
      <w:rFonts w:ascii="Times New Roman" w:eastAsia="宋体" w:cs="Times New Roman" w:hAnsi="Times New Roman"/>
      <w:lang w:val="en-US" w:eastAsia="zh-CN" w:bidi="ar-SA"/>
    </w:rPr>
  </w:style>
  <w:style w:type="paragraph" w:customStyle="1" w:styleId="65">
    <w:name w:val="样式 99 10 磅"/>
    <w:link w:val="65Char"/>
    <w:pPr>
      <w:widowControl w:val="0"/>
      <w:jc w:val="both"/>
    </w:pPr>
    <w:rPr>
      <w:rFonts w:ascii="Calibri" w:eastAsia="宋体" w:cs="Arial" w:hAnsi="Calibri"/>
      <w:kern w:val="2"/>
      <w:sz w:val="21"/>
      <w:szCs w:val="24"/>
      <w:lang w:val="en-US" w:eastAsia="zh-CN" w:bidi="ar-SA"/>
    </w:rPr>
  </w:style>
  <w:style w:type="character" w:customStyle="1" w:styleId="65Char">
    <w:name w:val="样式 99 10 磅 Char"/>
    <w:basedOn w:val="10"/>
    <w:link w:val="65"/>
    <w:rPr>
      <w:rFonts w:ascii="Calibri" w:eastAsia="宋体" w:cs="Arial" w:hAnsi="Calibri"/>
      <w:kern w:val="2"/>
      <w:sz w:val="21"/>
      <w:szCs w:val="24"/>
      <w:lang w:val="en-US" w:eastAsia="zh-CN" w:bidi="ar-SA"/>
    </w:rPr>
  </w:style>
  <w:style w:type="paragraph" w:customStyle="1" w:styleId="66">
    <w:name w:val="样式 100 10 磅"/>
    <w:pPr>
      <w:widowControl w:val="0"/>
      <w:jc w:val="both"/>
    </w:pPr>
    <w:rPr>
      <w:rFonts w:ascii="Times New Roman" w:eastAsia="宋体" w:cs="Times New Roman" w:hAnsi="Times New Roman"/>
      <w:kern w:val="2"/>
      <w:sz w:val="21"/>
      <w:lang w:val="en-US" w:eastAsia="zh-CN" w:bidi="ar-SA"/>
    </w:rPr>
  </w:style>
  <w:style w:type="paragraph" w:customStyle="1" w:styleId="67">
    <w:name w:val="样式 101 10 磅"/>
    <w:pPr>
      <w:widowControl w:val="0"/>
      <w:ind w:firstLineChars="200" w:firstLine="200"/>
      <w:jc w:val="both"/>
    </w:pPr>
    <w:rPr>
      <w:rFonts w:ascii="Times New Roman" w:eastAsia="宋体" w:cs="Times New Roman" w:hAnsi="Times New Roman"/>
      <w:kern w:val="2"/>
      <w:sz w:val="21"/>
      <w:szCs w:val="24"/>
      <w:lang w:val="en-US" w:eastAsia="zh-CN" w:bidi="ar-SA"/>
    </w:rPr>
  </w:style>
  <w:style w:type="character" w:styleId="68">
    <w:name w:val="page number"/>
    <w:basedOn w:val="10"/>
  </w:style>
  <w:style w:type="paragraph" w:customStyle="1" w:styleId="69">
    <w:name w:val="样式 2 小四"/>
    <w:rPr>
      <w:rFonts w:ascii="Times New Roman" w:eastAsia="SimSun" w:cs="Times New Roman" w:hAnsi="Times New Roman"/>
      <w:sz w:val="24"/>
      <w:szCs w:val="24"/>
      <w:lang w:val="en-US" w:eastAsia="en-US" w:bidi="ar-SA"/>
    </w:rPr>
  </w:style>
  <w:style w:type="paragraph" w:customStyle="1" w:styleId="70">
    <w:name w:val="样式 1 10 磅"/>
    <w:pPr>
      <w:widowControl w:val="0"/>
      <w:jc w:val="both"/>
    </w:pPr>
    <w:rPr>
      <w:rFonts w:ascii="Times New Roman" w:eastAsia="宋体" w:cs="Times New Roman" w:hAnsi="Times New Roman"/>
      <w:kern w:val="2"/>
      <w:sz w:val="21"/>
      <w:szCs w:val="24"/>
      <w:lang w:val="en-NZ" w:eastAsia="zh-CN" w:bidi="ar-SA"/>
    </w:rPr>
  </w:style>
  <w:style w:type="paragraph" w:customStyle="1" w:styleId="71">
    <w:name w:val="样式 三号"/>
    <w:pPr>
      <w:widowControl w:val="0"/>
      <w:ind w:firstLineChars="200" w:firstLine="200"/>
      <w:jc w:val="both"/>
    </w:pPr>
    <w:rPr>
      <w:rFonts w:ascii="Times New Roman" w:eastAsia="方正仿宋_GBK" w:cs="Times New Roman" w:hAnsi="Times New Roman"/>
      <w:kern w:val="2"/>
      <w:sz w:val="32"/>
      <w:lang w:val="en-US" w:eastAsia="zh-CN" w:bidi="ar-SA"/>
    </w:rPr>
  </w:style>
  <w:style w:type="paragraph" w:customStyle="1" w:styleId="72">
    <w:name w:val="样式 2 10 磅"/>
    <w:pPr>
      <w:widowControl w:val="0"/>
      <w:jc w:val="both"/>
    </w:pPr>
    <w:rPr>
      <w:rFonts w:ascii="Times New Roman" w:eastAsia="宋体" w:cs="Times New Roman" w:hAnsi="Times New Roman"/>
      <w:kern w:val="2"/>
      <w:sz w:val="21"/>
      <w:szCs w:val="24"/>
      <w:lang w:val="en-NZ" w:eastAsia="zh-CN" w:bidi="ar-SA"/>
    </w:rPr>
  </w:style>
  <w:style w:type="paragraph" w:customStyle="1" w:styleId="73">
    <w:name w:val="样式 3 小四"/>
    <w:rPr>
      <w:rFonts w:ascii="Times New Roman" w:eastAsia="SimSun" w:cs="Times New Roman" w:hAnsi="Times New Roman"/>
      <w:sz w:val="24"/>
      <w:szCs w:val="24"/>
      <w:lang w:val="en-US" w:eastAsia="en-US" w:bidi="ar-SA"/>
    </w:rPr>
  </w:style>
  <w:style w:type="paragraph" w:customStyle="1" w:styleId="74">
    <w:name w:val="样式 4 小四"/>
    <w:rPr>
      <w:rFonts w:ascii="Times New Roman" w:eastAsia="SimSun" w:cs="Times New Roman" w:hAnsi="Times New Roman"/>
      <w:sz w:val="24"/>
      <w:szCs w:val="24"/>
      <w:lang w:val="en-US" w:eastAsia="en-US" w:bidi="ar-SA"/>
    </w:rPr>
  </w:style>
  <w:style w:type="paragraph" w:customStyle="1" w:styleId="75">
    <w:name w:val="样式 3 10 磅"/>
    <w:pPr>
      <w:widowControl w:val="0"/>
      <w:jc w:val="both"/>
    </w:pPr>
    <w:rPr>
      <w:rFonts w:ascii="Times New Roman" w:eastAsia="宋体" w:cs="Times New Roman" w:hAnsi="Times New Roman"/>
      <w:kern w:val="2"/>
      <w:sz w:val="21"/>
      <w:szCs w:val="24"/>
      <w:lang w:val="en-NZ" w:eastAsia="zh-CN" w:bidi="ar-SA"/>
    </w:rPr>
  </w:style>
  <w:style w:type="paragraph" w:styleId="76">
    <w:name w:val="toa heading"/>
    <w:basedOn w:val="0"/>
    <w:next w:val="0"/>
    <w:pPr>
      <w:spacing w:before="120"/>
    </w:pPr>
    <w:rPr>
      <w:rFonts w:ascii="Arial" w:hAnsi="Arial"/>
      <w:sz w:val="24"/>
    </w:rPr>
  </w:style>
  <w:style w:type="paragraph" w:customStyle="1" w:styleId="77">
    <w:name w:val="样式 1 三号"/>
    <w:pPr>
      <w:widowControl w:val="0"/>
      <w:jc w:val="both"/>
    </w:pPr>
    <w:rPr>
      <w:rFonts w:ascii="Times New Roman" w:eastAsia="方正仿宋_GBK" w:cs="Times New Roman" w:hAnsi="Times New Roman"/>
      <w:kern w:val="2"/>
      <w:sz w:val="32"/>
      <w:lang w:val="en-US" w:eastAsia="zh-CN" w:bidi="ar-SA"/>
    </w:rPr>
  </w:style>
  <w:style w:type="paragraph" w:customStyle="1" w:styleId="78">
    <w:name w:val="样式 10 磅1"/>
    <w:next w:val="34"/>
    <w:pPr>
      <w:widowControl w:val="0"/>
      <w:jc w:val="both"/>
    </w:pPr>
    <w:rPr>
      <w:rFonts w:ascii="Times New Roman" w:eastAsia="宋体" w:cs="Times New Roman" w:hAnsi="Times New Roman"/>
      <w:kern w:val="2"/>
      <w:sz w:val="21"/>
      <w:szCs w:val="21"/>
      <w:lang w:val="en-US" w:eastAsia="zh-CN" w:bidi="ar-SA"/>
    </w:rPr>
  </w:style>
  <w:style w:type="paragraph" w:customStyle="1" w:styleId="79">
    <w:name w:val="样式 2 三号"/>
    <w:pPr>
      <w:widowControl w:val="0"/>
      <w:jc w:val="both"/>
    </w:pPr>
    <w:rPr>
      <w:rFonts w:ascii="Times New Roman" w:eastAsia="方正仿宋_GBK" w:cs="Times New Roman" w:hAnsi="Times New Roman"/>
      <w:kern w:val="2"/>
      <w:sz w:val="32"/>
      <w:lang w:val="en-US" w:eastAsia="zh-CN" w:bidi="ar-SA"/>
    </w:rPr>
  </w:style>
  <w:style w:type="paragraph" w:customStyle="1" w:styleId="80">
    <w:name w:val="样式 6 三号"/>
    <w:next w:val="76"/>
    <w:pPr>
      <w:widowControl w:val="0"/>
      <w:jc w:val="both"/>
    </w:pPr>
    <w:rPr>
      <w:rFonts w:ascii="Times New Roman" w:eastAsia="方正仿宋_GBK" w:cs="Times New Roman" w:hAnsi="Times New Roman"/>
      <w:kern w:val="2"/>
      <w:sz w:val="32"/>
      <w:lang w:val="en-US" w:eastAsia="zh-CN" w:bidi="ar-SA"/>
    </w:rPr>
  </w:style>
  <w:style w:type="paragraph" w:customStyle="1" w:styleId="81">
    <w:name w:val="样式 3 三号"/>
    <w:pPr>
      <w:widowControl w:val="0"/>
      <w:jc w:val="both"/>
    </w:pPr>
    <w:rPr>
      <w:rFonts w:ascii="Times New Roman" w:eastAsia="方正仿宋_GBK" w:cs="Times New Roman" w:hAnsi="Times New Roman"/>
      <w:kern w:val="2"/>
      <w:sz w:val="32"/>
      <w:lang w:val="en-US" w:eastAsia="zh-CN" w:bidi="ar-SA"/>
    </w:rPr>
  </w:style>
  <w:style w:type="paragraph" w:customStyle="1" w:styleId="82">
    <w:name w:val="样式 4 三号"/>
    <w:pPr>
      <w:widowControl w:val="0"/>
      <w:jc w:val="both"/>
    </w:pPr>
    <w:rPr>
      <w:rFonts w:ascii="Times New Roman" w:eastAsia="方正仿宋_GBK" w:cs="Times New Roman" w:hAnsi="Times New Roman"/>
      <w:kern w:val="2"/>
      <w:sz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1963</TotalTime>
  <Application>Yozo_Office</Application>
  <Pages>1</Pages>
  <Words>15</Words>
  <Characters>15</Characters>
  <Lines>1</Lines>
  <Paragraphs>0</Paragraphs>
  <CharactersWithSpaces>15</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鲁龙翔</dc:creator>
  <cp:lastModifiedBy>霍益亮</cp:lastModifiedBy>
  <cp:revision>14</cp:revision>
  <cp:lastPrinted>2021-03-19T01:17:24Z</cp:lastPrinted>
  <dcterms:created xsi:type="dcterms:W3CDTF">2020-08-31T06:19:00Z</dcterms:created>
  <dcterms:modified xsi:type="dcterms:W3CDTF">2021-03-19T01:44:19Z</dcterms:modified>
</cp:coreProperties>
</file>