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D" w:rsidRDefault="00FE39FD" w:rsidP="00FE39FD">
      <w:pPr>
        <w:jc w:val="left"/>
        <w:rPr>
          <w:rFonts w:ascii="楷体" w:eastAsia="楷体" w:hAnsi="楷体"/>
          <w:sz w:val="28"/>
          <w:szCs w:val="28"/>
        </w:rPr>
      </w:pPr>
      <w:r w:rsidRPr="00FE39FD">
        <w:rPr>
          <w:rFonts w:ascii="楷体" w:eastAsia="楷体" w:hAnsi="楷体" w:hint="eastAsia"/>
          <w:sz w:val="28"/>
          <w:szCs w:val="28"/>
        </w:rPr>
        <w:t>附件1</w:t>
      </w:r>
    </w:p>
    <w:p w:rsidR="00427D16" w:rsidRDefault="00427D16" w:rsidP="008626D1">
      <w:pPr>
        <w:widowControl/>
        <w:spacing w:before="100" w:beforeAutospacing="1" w:after="100" w:afterAutospacing="1" w:line="560" w:lineRule="exact"/>
        <w:jc w:val="center"/>
        <w:rPr>
          <w:rFonts w:asciiTheme="majorEastAsia" w:eastAsiaTheme="majorEastAsia" w:hAnsiTheme="majorEastAsia" w:cs="宋体"/>
          <w:bCs/>
          <w:color w:val="474646"/>
          <w:kern w:val="0"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甘肃省</w:t>
      </w:r>
      <w:r w:rsidR="00BF4F8E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进口</w:t>
      </w:r>
      <w:r w:rsidR="004C3044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冷</w:t>
      </w:r>
      <w:proofErr w:type="gramStart"/>
      <w:r w:rsidR="004C3044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链</w:t>
      </w:r>
      <w:r w:rsidR="00AD1B1B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食品</w:t>
      </w:r>
      <w:proofErr w:type="gramEnd"/>
      <w:r w:rsidR="00AD1B1B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监管总仓</w:t>
      </w:r>
      <w:r w:rsidR="004C3044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新冠</w:t>
      </w:r>
    </w:p>
    <w:p w:rsidR="004C3044" w:rsidRPr="008626D1" w:rsidRDefault="004C3044" w:rsidP="00427D16">
      <w:pPr>
        <w:widowControl/>
        <w:spacing w:before="100" w:beforeAutospacing="1" w:after="100" w:afterAutospacing="1" w:line="560" w:lineRule="exact"/>
        <w:jc w:val="center"/>
        <w:rPr>
          <w:rFonts w:asciiTheme="majorEastAsia" w:eastAsiaTheme="majorEastAsia" w:hAnsiTheme="majorEastAsia" w:cs="宋体"/>
          <w:bCs/>
          <w:color w:val="474646"/>
          <w:kern w:val="0"/>
          <w:sz w:val="44"/>
          <w:szCs w:val="44"/>
        </w:rPr>
      </w:pPr>
      <w:r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病毒</w:t>
      </w:r>
      <w:r w:rsidR="00D97D36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核酸</w:t>
      </w:r>
      <w:r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监测</w:t>
      </w:r>
      <w:r w:rsidR="00AD1B1B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方案</w:t>
      </w:r>
      <w:r w:rsidR="00202B5F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（</w:t>
      </w:r>
      <w:r w:rsidR="00D97D36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试行</w:t>
      </w:r>
      <w:r w:rsidR="00202B5F" w:rsidRPr="008626D1">
        <w:rPr>
          <w:rFonts w:asciiTheme="majorEastAsia" w:eastAsiaTheme="majorEastAsia" w:hAnsiTheme="majorEastAsia" w:cs="宋体" w:hint="eastAsia"/>
          <w:bCs/>
          <w:color w:val="474646"/>
          <w:kern w:val="0"/>
          <w:sz w:val="44"/>
          <w:szCs w:val="44"/>
        </w:rPr>
        <w:t>）</w:t>
      </w:r>
    </w:p>
    <w:p w:rsidR="003672F6" w:rsidRPr="00AF6331" w:rsidRDefault="00BF4F8E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是新冠肺炎疫情防控的重点</w:t>
      </w:r>
      <w:r w:rsidR="00F40E0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环节</w:t>
      </w:r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，加强对</w:t>
      </w:r>
      <w:r w:rsidR="00F40E0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F40E0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新冠病毒环境监测，对于</w:t>
      </w:r>
      <w:r w:rsidR="00F40E0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阻断疫情传播渠道</w:t>
      </w:r>
      <w:r w:rsidR="002139B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，有效防范新冠肺炎疫情通过进口冷</w:t>
      </w:r>
      <w:proofErr w:type="gramStart"/>
      <w:r w:rsidR="002139B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637A7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传播</w:t>
      </w:r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意义重大。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根据</w:t>
      </w:r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国务院应对新型冠状病毒肺炎疫情联防联控机制综合组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《关于印发农贸（集贸</w:t>
      </w:r>
      <w:r w:rsidR="000262F7" w:rsidRPr="00AF6331">
        <w:rPr>
          <w:rFonts w:ascii="仿宋_GB2312" w:eastAsia="仿宋_GB2312" w:hAnsi="仿宋" w:cs="宋体"/>
          <w:color w:val="474646"/>
          <w:kern w:val="0"/>
          <w:sz w:val="32"/>
          <w:szCs w:val="32"/>
        </w:rPr>
        <w:t>）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市场新型冠状病毒环境监测技术规范的通知》（联防联控机制综合</w:t>
      </w:r>
      <w:r w:rsid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〔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2020</w:t>
      </w:r>
      <w:r w:rsid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〕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221号）、</w:t>
      </w:r>
      <w:r w:rsid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省</w:t>
      </w:r>
      <w:r w:rsidR="004B7325">
        <w:rPr>
          <w:rFonts w:ascii="仿宋_GB2312" w:eastAsia="仿宋_GB2312" w:hAnsi="仿宋" w:cs="宋体"/>
          <w:color w:val="474646"/>
          <w:kern w:val="0"/>
          <w:sz w:val="32"/>
          <w:szCs w:val="32"/>
        </w:rPr>
        <w:t>市场监管局</w:t>
      </w:r>
      <w:r w:rsid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等6部门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《关于进一步加强进口冷链食品疫情防控工作的紧急通知》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proofErr w:type="gramStart"/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甘市监明</w:t>
      </w:r>
      <w:proofErr w:type="gramEnd"/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电</w:t>
      </w:r>
      <w:r w:rsid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〔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2020</w:t>
      </w:r>
      <w:r w:rsid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〕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88号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要求，</w:t>
      </w:r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为科学规范指导</w:t>
      </w:r>
      <w:r w:rsidR="00502C8D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各地</w:t>
      </w:r>
      <w:r w:rsidR="00637A7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637A7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新冠病毒监测工作，特制定本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监测方案</w:t>
      </w:r>
      <w:r w:rsidR="004C30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</w:p>
    <w:p w:rsidR="00A94318" w:rsidRPr="00AF6331" w:rsidRDefault="00637A7E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一、监测对象</w:t>
      </w:r>
      <w:r w:rsidRPr="00AF6331">
        <w:rPr>
          <w:rFonts w:ascii="仿宋_GB2312" w:eastAsia="仿宋_GB2312" w:hAnsi="黑体" w:cs="宋体" w:hint="eastAsia"/>
          <w:color w:val="474646"/>
          <w:kern w:val="0"/>
          <w:sz w:val="32"/>
          <w:szCs w:val="32"/>
        </w:rPr>
        <w:br/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　　</w:t>
      </w:r>
      <w:r w:rsidR="00AF578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所有进入省内的进口冷链食品</w:t>
      </w:r>
      <w:r w:rsidR="00375FD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、</w:t>
      </w:r>
      <w:r w:rsidR="007403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运输设施、储存环境及</w:t>
      </w:r>
      <w:r w:rsidR="00420D41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与进口冷</w:t>
      </w:r>
      <w:proofErr w:type="gramStart"/>
      <w:r w:rsidR="00420D41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20D41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相关的</w:t>
      </w:r>
      <w:r w:rsidR="0062565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从业人员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</w:r>
      <w:r w:rsidR="003672F6"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 xml:space="preserve">    </w:t>
      </w:r>
      <w:r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二、监测内容</w:t>
      </w:r>
      <w:r w:rsidRPr="00AF6331">
        <w:rPr>
          <w:rFonts w:ascii="仿宋_GB2312" w:eastAsia="仿宋_GB2312" w:hAnsi="黑体" w:cs="宋体" w:hint="eastAsia"/>
          <w:color w:val="474646"/>
          <w:kern w:val="0"/>
          <w:sz w:val="32"/>
          <w:szCs w:val="32"/>
        </w:rPr>
        <w:br/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　　</w:t>
      </w:r>
      <w:r w:rsidR="00A9431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按照“</w:t>
      </w:r>
      <w:r w:rsidR="0036461A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首</w:t>
      </w:r>
      <w:r w:rsidR="00A9431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接检、批覆盖、抽样</w:t>
      </w:r>
      <w:r w:rsidR="00C8035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查</w:t>
      </w:r>
      <w:r w:rsidR="00A9431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”的原则，</w:t>
      </w:r>
      <w:r w:rsidR="000262F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接市场监管局通报后立即</w:t>
      </w:r>
      <w:r w:rsidR="00A9431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对进口冷链食品、运输设施、储存环境及从业人员进行监测。</w:t>
      </w:r>
    </w:p>
    <w:p w:rsidR="00637A7E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lastRenderedPageBreak/>
        <w:t>（</w:t>
      </w:r>
      <w:r w:rsidR="00A81AE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一）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对每批</w:t>
      </w:r>
      <w:r w:rsidR="00A81AE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A81AE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A81AE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及其包装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采集拭子</w:t>
      </w:r>
      <w:r w:rsidR="006F1F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样本进行</w:t>
      </w:r>
      <w:r w:rsidR="00A81AE7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病毒检测。</w:t>
      </w:r>
    </w:p>
    <w:p w:rsidR="00613063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二）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从业人员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采集咽拭子和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衣物表面、手部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表面拭子涂抹样本进行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病毒检测。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    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三</w:t>
      </w:r>
      <w:r w:rsidR="00F4219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对运输进口冷</w:t>
      </w:r>
      <w:proofErr w:type="gramStart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的冷藏车内部表面采集拭子涂抹样本进行病毒检测。</w:t>
      </w:r>
    </w:p>
    <w:p w:rsidR="000262F7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四</w:t>
      </w:r>
      <w:r w:rsidR="00B06DE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53393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进口冷链食品监管总仓</w:t>
      </w:r>
      <w:r w:rsidR="00B06DE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的冰箱、冷藏柜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、冷库等</w:t>
      </w:r>
      <w:r w:rsidR="007304B9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各类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冷藏设施</w:t>
      </w:r>
      <w:r w:rsidR="00D97D3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内表面采集拭子涂抹样本进行</w:t>
      </w:r>
      <w:r w:rsidR="00B06DE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病毒检测。</w:t>
      </w:r>
    </w:p>
    <w:p w:rsidR="00533932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五</w:t>
      </w:r>
      <w:r w:rsidR="00260FBA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260FBA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260FBA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E836B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监管总仓环境</w:t>
      </w:r>
      <w:r w:rsidR="006F1F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进行</w:t>
      </w:r>
      <w:r w:rsidR="00E836B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病毒监测。</w:t>
      </w:r>
      <w:r w:rsidR="00B06DE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包括主要进出口的电梯按钮、楼梯扶手、门把手表面，茶水间、卫生间等公用设备设施表面，潮湿的公共通道和卫生间地面等采集拭子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B06DE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样本。</w:t>
      </w:r>
    </w:p>
    <w:p w:rsidR="002D4035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六</w:t>
      </w:r>
      <w:r w:rsidR="0053393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监管总仓跨区域移动的工具或物品，包括垃圾车、垃圾桶、墩布等清洁工具，转运物品的拖车等，采集拭子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进行病毒检测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七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监管总仓工作人员聚集、通风不良的环境，包括办公室、工具间、休息间等环境气溶胶样本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进行病毒检测</w:t>
      </w:r>
      <w:r w:rsidR="0082270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</w:p>
    <w:p w:rsidR="000262F7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八）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监管总仓排水系统中污水的病毒检测。重点</w:t>
      </w:r>
      <w:r w:rsidR="00502C8D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监管总仓来源的污水，采集拭子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样本或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lastRenderedPageBreak/>
        <w:t>污水样本。</w:t>
      </w:r>
      <w:r w:rsidR="002D403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</w:r>
      <w:r w:rsidR="00AF6331"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 xml:space="preserve">     </w:t>
      </w:r>
      <w:r w:rsidR="000F4028"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三、样本</w:t>
      </w:r>
      <w:r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采集</w:t>
      </w:r>
      <w:r w:rsidR="000F4028" w:rsidRPr="00AF6331">
        <w:rPr>
          <w:rFonts w:ascii="仿宋_GB2312" w:eastAsia="仿宋_GB2312" w:hAnsi="黑体" w:cs="宋体" w:hint="eastAsia"/>
          <w:color w:val="474646"/>
          <w:kern w:val="0"/>
          <w:sz w:val="32"/>
          <w:szCs w:val="32"/>
        </w:rPr>
        <w:br/>
      </w:r>
      <w:r w:rsidRPr="00AF6331">
        <w:rPr>
          <w:rFonts w:ascii="仿宋_GB2312" w:eastAsia="仿宋_GB2312" w:hAnsi="楷体" w:cs="宋体" w:hint="eastAsia"/>
          <w:color w:val="474646"/>
          <w:kern w:val="0"/>
          <w:sz w:val="32"/>
          <w:szCs w:val="32"/>
        </w:rPr>
        <w:t xml:space="preserve">　</w:t>
      </w:r>
      <w:r w:rsidRPr="00AF6331">
        <w:rPr>
          <w:rFonts w:ascii="楷体" w:eastAsia="楷体" w:hAnsi="楷体" w:cs="宋体" w:hint="eastAsia"/>
          <w:color w:val="474646"/>
          <w:kern w:val="0"/>
          <w:sz w:val="32"/>
          <w:szCs w:val="32"/>
        </w:rPr>
        <w:t xml:space="preserve">　（一）样本要求</w:t>
      </w:r>
      <w:r w:rsidR="000F4028" w:rsidRPr="00AF6331">
        <w:rPr>
          <w:rFonts w:ascii="仿宋_GB2312" w:eastAsia="仿宋_GB2312" w:hAnsi="楷体" w:cs="宋体" w:hint="eastAsia"/>
          <w:color w:val="474646"/>
          <w:kern w:val="0"/>
          <w:sz w:val="32"/>
          <w:szCs w:val="32"/>
        </w:rPr>
        <w:br/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　　1.从业人员咽拭子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：按规范采集从业人员咽拭子，不得混采。</w:t>
      </w:r>
    </w:p>
    <w:p w:rsidR="00E40B5C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2.从业人员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手部、衣物和其他物体表面拭子</w:t>
      </w:r>
      <w:r w:rsidR="006F1F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样本：要求用病毒采样管中的病毒保存液，充分浸润采样棉签后，对拟采集的手部或物体（包括公共通道的地面）的表面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多点、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重复涂抹。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3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.食品表面拭子</w:t>
      </w:r>
      <w:r w:rsidR="006F1F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样本：食品样本不可直接进行采集，应当首先将拟采集的食品小心分离，并存放于洁净采样袋后，再进行</w:t>
      </w:r>
      <w:proofErr w:type="gramStart"/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</w:t>
      </w:r>
      <w:proofErr w:type="gramEnd"/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子样本的采集。要求用病毒采样管中的病毒保存液，充分浸润采样棉签后，对拟采集食物样本的表面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多点、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重复涂抹。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4</w:t>
      </w:r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.污水样本：按照</w:t>
      </w:r>
      <w:r w:rsidR="007015A0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7015A0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7015A0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</w:t>
      </w:r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排水系统分布情况，选取2-3处污水采样位置，重点为内部管网汇集处、水流方向的下游或与市政管网的连接处。采集</w:t>
      </w:r>
      <w:proofErr w:type="gramStart"/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</w:t>
      </w:r>
      <w:proofErr w:type="gramEnd"/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子样本要求，用采样棉签浸入污水中，使其吸附污水并在采样管中对</w:t>
      </w:r>
      <w:proofErr w:type="gramStart"/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涮洗</w:t>
      </w:r>
      <w:proofErr w:type="gramEnd"/>
      <w:r w:rsidR="00E40B5C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3次以上。采集污水样本要求，用聚乙烯塑料瓶收集30-500mL污水水样；大于500mL体积的污水采集可以使用聚乙烯塑料桶或现场水样专用富集设备。同时要满足对污水采样位置，进行多点分布式采样。</w:t>
      </w:r>
    </w:p>
    <w:p w:rsidR="00260FBA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5</w:t>
      </w:r>
      <w:r w:rsidR="000F402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.人员聚集、通风不良的局部交易区域、办公室、休息间等环境采集气溶胶样本。</w:t>
      </w:r>
    </w:p>
    <w:p w:rsidR="005D543A" w:rsidRPr="00AF6331" w:rsidRDefault="000262F7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楷体" w:eastAsia="楷体" w:hAnsi="楷体" w:cs="宋体" w:hint="eastAsia"/>
          <w:color w:val="474646"/>
          <w:kern w:val="0"/>
          <w:sz w:val="32"/>
          <w:szCs w:val="32"/>
        </w:rPr>
        <w:lastRenderedPageBreak/>
        <w:t>（二）采样要求</w:t>
      </w:r>
      <w:r w:rsidR="00442049" w:rsidRPr="00AF6331">
        <w:rPr>
          <w:rFonts w:ascii="仿宋_GB2312" w:eastAsia="仿宋_GB2312" w:hAnsi="楷体" w:cs="宋体" w:hint="eastAsia"/>
          <w:color w:val="474646"/>
          <w:kern w:val="0"/>
          <w:sz w:val="32"/>
          <w:szCs w:val="32"/>
        </w:rPr>
        <w:br/>
      </w:r>
      <w:r w:rsidR="00442049"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 xml:space="preserve">　　1.采样周期</w:t>
      </w:r>
      <w:r w:rsidR="00E93F70"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及数量</w:t>
      </w:r>
      <w:r w:rsidR="004E5AF8"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：</w:t>
      </w:r>
    </w:p>
    <w:p w:rsidR="00C0794B" w:rsidRPr="00AF6331" w:rsidRDefault="00763630" w:rsidP="00AF6331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（1）</w:t>
      </w:r>
      <w:r w:rsidR="00262ED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</w:t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批进口冷</w:t>
      </w:r>
      <w:proofErr w:type="gramStart"/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EE50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新型冠状病毒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数量按照附表1的要求</w:t>
      </w:r>
      <w:r w:rsidR="00EE50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采样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="00EE508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每件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（装卸时的独立包装为</w:t>
      </w:r>
      <w:r w:rsidR="00FB53C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1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件）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内</w:t>
      </w:r>
      <w:proofErr w:type="gramStart"/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外表面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和件内</w:t>
      </w:r>
      <w:proofErr w:type="gramEnd"/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的每层</w:t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包装</w:t>
      </w:r>
      <w:r w:rsidR="0020591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内</w:t>
      </w:r>
      <w:r w:rsidR="00657A3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外表面</w:t>
      </w:r>
      <w:r w:rsidR="0020591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各采集1份</w:t>
      </w:r>
      <w:r w:rsidR="00657A3E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独立</w:t>
      </w:r>
      <w:r w:rsidR="00657A3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最</w:t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小包装内的肉、禽类和海鲜水产类食品</w:t>
      </w:r>
      <w:r w:rsidR="005B0533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采集</w:t>
      </w:r>
      <w:r w:rsidR="00657A3E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20591E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份</w:t>
      </w:r>
      <w:r w:rsidR="00657A3E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223F13" w:rsidRPr="00AF6331" w:rsidRDefault="00763630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（2）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接触每批进口冷</w:t>
      </w:r>
      <w:proofErr w:type="gramStart"/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的从业人员衣物表面、手部表面采集拭子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样本各1份。</w:t>
      </w:r>
    </w:p>
    <w:p w:rsidR="004C47F2" w:rsidRPr="00AF6331" w:rsidRDefault="00763630" w:rsidP="00AF6331">
      <w:pPr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（3）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每周对从业人员采集咽拭子1次，发现物品、环境阳性时，立即对从业人员进行咽拭子采集。</w:t>
      </w:r>
    </w:p>
    <w:p w:rsidR="005D543A" w:rsidRPr="00AF6331" w:rsidRDefault="00763630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（4）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每批运送进口冷</w:t>
      </w:r>
      <w:proofErr w:type="gramStart"/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冷藏车内部表面（卸货后），每车采集3份拭子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样本进行病毒监测，至少包括底部内表面。</w:t>
      </w:r>
    </w:p>
    <w:p w:rsidR="006137E5" w:rsidRPr="00AF6331" w:rsidRDefault="00763630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（5）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每批进口冷</w:t>
      </w:r>
      <w:proofErr w:type="gramStart"/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储藏食物过程中触及</w:t>
      </w:r>
      <w:r w:rsidR="00262ED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到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的冰箱、冷藏柜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、冷库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内表面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及把手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，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每个箱体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至少</w:t>
      </w:r>
      <w:r w:rsidR="004C47F2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3份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拭子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</w:t>
      </w:r>
      <w:r w:rsidR="00262ED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进行病毒检测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="00223F13" w:rsidRPr="00AF6331">
        <w:rPr>
          <w:rFonts w:ascii="仿宋_GB2312" w:eastAsia="仿宋_GB2312" w:hAnsi="仿宋" w:cs="宋体"/>
          <w:color w:val="474646"/>
          <w:kern w:val="0"/>
          <w:sz w:val="32"/>
          <w:szCs w:val="32"/>
        </w:rPr>
        <w:t xml:space="preserve"> </w:t>
      </w:r>
    </w:p>
    <w:p w:rsidR="00145F2D" w:rsidRPr="00AF6331" w:rsidRDefault="00763630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（6）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对每批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进口冷</w:t>
      </w:r>
      <w:proofErr w:type="gramStart"/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监管总仓跨区域移动的工具或物品，包括垃圾车、垃圾桶、墩布等清洁工具，转运物品的拖车等，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1份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拭子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样本。</w:t>
      </w:r>
    </w:p>
    <w:p w:rsidR="004C47F2" w:rsidRPr="00AF6331" w:rsidRDefault="00763630" w:rsidP="00AF6331">
      <w:pPr>
        <w:ind w:firstLineChars="200" w:firstLine="640"/>
        <w:rPr>
          <w:rFonts w:ascii="仿宋_GB2312" w:eastAsia="仿宋_GB2312" w:hAnsi="仿宋" w:cs="宋体"/>
          <w:color w:val="FF0000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（7）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对进口冷</w:t>
      </w:r>
      <w:proofErr w:type="gramStart"/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</w:t>
      </w:r>
      <w:r w:rsidR="00AB3944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环境，包括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主要进出口的电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lastRenderedPageBreak/>
        <w:t>梯按钮、楼梯扶手、门把手表面，茶水间、卫生间等公用设备设施表面，潮湿的公共通道和卫生间地面等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存放进口冷</w:t>
      </w:r>
      <w:proofErr w:type="gramStart"/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期间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每周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1份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拭子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涂抹</w:t>
      </w:r>
      <w:r w:rsidR="00145F2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；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工作人员聚集、通风不良的环境，包括办公室、工具间、休息间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等环境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，存放进口冷</w:t>
      </w:r>
      <w:proofErr w:type="gramStart"/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期间</w:t>
      </w:r>
      <w:r w:rsidR="0013476E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每周</w:t>
      </w:r>
      <w:r w:rsidR="009F720D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各采集1份</w:t>
      </w:r>
      <w:r w:rsidR="006137E5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气溶胶样本</w:t>
      </w:r>
      <w:r w:rsidR="00223F13" w:rsidRPr="00AF633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AF6331" w:rsidRDefault="00442049" w:rsidP="00AF6331">
      <w:pPr>
        <w:ind w:firstLineChars="200" w:firstLine="643"/>
        <w:rPr>
          <w:rFonts w:ascii="仿宋_GB2312" w:eastAsia="仿宋_GB2312" w:hAnsi="黑体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2.采样实施：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现场采样由两名以上的工作人员参与完成，采样时应当穿戴防护服、防护口罩、鞋套和医用一次性手套。采样过程需开启现场采样视频记录设备。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</w:r>
      <w:r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 xml:space="preserve">　　3.采样装备：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病毒采样箱、病毒采样管、气溶胶采集器、样品记录单、</w:t>
      </w:r>
      <w:proofErr w:type="gramStart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手消设备</w:t>
      </w:r>
      <w:proofErr w:type="gramEnd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、洁净采样袋、冰袋、高危险生物样本转运箱和生物安全垃圾袋等。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4.采样记录：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样本信息应当包括样本采集的采样时间、地点、</w:t>
      </w:r>
      <w:r w:rsidR="004D626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采样地址或</w:t>
      </w:r>
      <w:r w:rsidR="0075711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监管总仓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名称、</w:t>
      </w:r>
      <w:r w:rsidR="0075711B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冷藏设备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编号、采样类型、样本编号以及采样人等信息</w:t>
      </w:r>
      <w:r w:rsidR="00763630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（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详见附</w:t>
      </w:r>
      <w:r w:rsidR="00181693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表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</w:t>
      </w:r>
      <w:r w:rsidR="00763630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）</w:t>
      </w:r>
      <w:r w:rsidR="004E5AF8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5.采样操作：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采样开始前，要求穿戴防护服、口罩、鞋套和手套等个人防护用品进入采样现场，并</w:t>
      </w:r>
      <w:proofErr w:type="gramStart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使用手消进行</w:t>
      </w:r>
      <w:proofErr w:type="gramEnd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手部消毒。</w:t>
      </w:r>
      <w:proofErr w:type="gramStart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拭</w:t>
      </w:r>
      <w:proofErr w:type="gramEnd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子样本采样过程中，采样棉签只能接触当前采集的样本，避免触碰到其他物体。污水样本采集前，先充分搅匀，然后取样。污水分三层以上，不能搅匀时，可按各层量的多少的比例分层取样。气溶胶样本采集使用气溶胶采集器，设定采集高度、空气通量和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lastRenderedPageBreak/>
        <w:t>采集时间，进行气溶胶采集，将采集后的吸收液或滤膜放置在特定的低温容器进行转运。采样结束后，清理废弃物后离场。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  <w:t xml:space="preserve">　　</w:t>
      </w:r>
      <w:r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6.</w:t>
      </w:r>
      <w:r w:rsidR="00223F13" w:rsidRPr="00AF6331">
        <w:rPr>
          <w:rFonts w:ascii="仿宋_GB2312" w:eastAsia="仿宋_GB2312" w:hAnsi="仿宋" w:cs="宋体" w:hint="eastAsia"/>
          <w:b/>
          <w:color w:val="474646"/>
          <w:kern w:val="0"/>
          <w:sz w:val="32"/>
          <w:szCs w:val="32"/>
        </w:rPr>
        <w:t>样品转运：</w:t>
      </w:r>
      <w:r w:rsidR="00223F13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采集样品连同采样记录单应及时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运送至当地指定的病毒监测机构进行检测，样本建议冷藏存放于高危险生物样本转运箱中，并由专人、专车进行转运。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</w:r>
      <w:r w:rsidRPr="00F506BD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 xml:space="preserve">　　四、</w:t>
      </w:r>
      <w:r w:rsidR="00F506BD" w:rsidRPr="00F506BD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检测、实验室生物安全要求</w:t>
      </w:r>
    </w:p>
    <w:p w:rsidR="004E5AF8" w:rsidRPr="00AF6331" w:rsidRDefault="00442049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黑体" w:cs="宋体" w:hint="eastAsia"/>
          <w:color w:val="474646"/>
          <w:kern w:val="0"/>
          <w:sz w:val="32"/>
          <w:szCs w:val="32"/>
        </w:rPr>
        <w:t>检测</w:t>
      </w:r>
      <w:r w:rsidR="00186C76" w:rsidRPr="00AF6331">
        <w:rPr>
          <w:rFonts w:ascii="仿宋_GB2312" w:eastAsia="仿宋_GB2312" w:hAnsi="黑体" w:cs="宋体" w:hint="eastAsia"/>
          <w:color w:val="474646"/>
          <w:kern w:val="0"/>
          <w:sz w:val="32"/>
          <w:szCs w:val="32"/>
        </w:rPr>
        <w:t>、实验室生物安全要求等</w:t>
      </w:r>
      <w:r w:rsidR="00186C7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按照《关于印发农贸（集贸</w:t>
      </w:r>
      <w:r w:rsidR="00186C76" w:rsidRPr="00AF6331">
        <w:rPr>
          <w:rFonts w:ascii="仿宋_GB2312" w:eastAsia="仿宋_GB2312" w:hAnsi="仿宋" w:cs="宋体"/>
          <w:color w:val="474646"/>
          <w:kern w:val="0"/>
          <w:sz w:val="32"/>
          <w:szCs w:val="32"/>
        </w:rPr>
        <w:t>）</w:t>
      </w:r>
      <w:r w:rsidR="00186C76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市场新型冠状病毒环境监测技术规范的通知》执行。</w:t>
      </w:r>
    </w:p>
    <w:p w:rsidR="004E5AF8" w:rsidRPr="00AF6331" w:rsidRDefault="004E5AF8" w:rsidP="00AF6331">
      <w:pPr>
        <w:ind w:firstLineChars="200" w:firstLine="640"/>
        <w:rPr>
          <w:rFonts w:ascii="黑体" w:eastAsia="黑体" w:hAnsi="黑体" w:cs="宋体"/>
          <w:color w:val="474646"/>
          <w:kern w:val="0"/>
          <w:sz w:val="32"/>
          <w:szCs w:val="32"/>
        </w:rPr>
      </w:pPr>
      <w:r w:rsidRPr="00AF6331">
        <w:rPr>
          <w:rFonts w:ascii="黑体" w:eastAsia="黑体" w:hAnsi="黑体" w:cs="宋体" w:hint="eastAsia"/>
          <w:color w:val="474646"/>
          <w:kern w:val="0"/>
          <w:sz w:val="32"/>
          <w:szCs w:val="32"/>
        </w:rPr>
        <w:t>五、结果报告</w:t>
      </w:r>
    </w:p>
    <w:p w:rsidR="00F506BD" w:rsidRDefault="00264F5E" w:rsidP="00AF6331">
      <w:pPr>
        <w:ind w:firstLineChars="200" w:firstLine="640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接市场监管局通报后，</w:t>
      </w:r>
      <w:bookmarkStart w:id="0" w:name="_GoBack"/>
      <w:bookmarkEnd w:id="0"/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立即开展采样检测工作，完成检测后2小时内将检测结果上报同级卫生健康部门。上报表格详见附</w:t>
      </w:r>
      <w:r w:rsidR="00181693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表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3。</w:t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br/>
      </w:r>
      <w:r w:rsidR="00442049"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 </w:t>
      </w:r>
      <w:r w:rsidRPr="00AF6331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 </w:t>
      </w:r>
      <w:r w:rsidR="00763630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附表</w:t>
      </w:r>
      <w:r w:rsid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：</w:t>
      </w:r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1.进口冷</w:t>
      </w:r>
      <w:proofErr w:type="gramStart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新型冠状病毒抽样规则表</w:t>
      </w:r>
    </w:p>
    <w:p w:rsidR="004B7325" w:rsidRPr="004B7325" w:rsidRDefault="00A067C3" w:rsidP="00F506BD">
      <w:pPr>
        <w:jc w:val="center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  </w:t>
      </w:r>
      <w:r w:rsidR="00763630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 </w:t>
      </w:r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2.进口冷</w:t>
      </w:r>
      <w:proofErr w:type="gramStart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新型冠状病毒检测标本采样表</w:t>
      </w:r>
    </w:p>
    <w:p w:rsidR="004B7325" w:rsidRPr="004B7325" w:rsidRDefault="00763630" w:rsidP="004B7325">
      <w:pPr>
        <w:jc w:val="center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  </w:t>
      </w:r>
      <w:r w:rsidR="00A067C3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 xml:space="preserve"> </w:t>
      </w:r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3.进口冷</w:t>
      </w:r>
      <w:proofErr w:type="gramStart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链食品</w:t>
      </w:r>
      <w:proofErr w:type="gramEnd"/>
      <w:r w:rsidR="004B7325" w:rsidRPr="004B7325">
        <w:rPr>
          <w:rFonts w:ascii="仿宋_GB2312" w:eastAsia="仿宋_GB2312" w:hAnsi="仿宋" w:cs="宋体" w:hint="eastAsia"/>
          <w:color w:val="474646"/>
          <w:kern w:val="0"/>
          <w:sz w:val="32"/>
          <w:szCs w:val="32"/>
        </w:rPr>
        <w:t>新型冠状病毒检测结果汇总表</w:t>
      </w:r>
    </w:p>
    <w:p w:rsidR="004B7325" w:rsidRPr="004B7325" w:rsidRDefault="004B7325" w:rsidP="00F506BD">
      <w:pPr>
        <w:jc w:val="center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</w:p>
    <w:p w:rsidR="004B7325" w:rsidRDefault="004B7325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</w:p>
    <w:p w:rsidR="004B7325" w:rsidRDefault="004B7325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</w:p>
    <w:p w:rsidR="004B7325" w:rsidRDefault="004B7325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</w:p>
    <w:p w:rsidR="004B7325" w:rsidRDefault="004B7325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</w:p>
    <w:p w:rsidR="004B7325" w:rsidRDefault="004B7325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</w:p>
    <w:p w:rsidR="004B7325" w:rsidRPr="00763630" w:rsidRDefault="004B7325" w:rsidP="004B7325">
      <w:pPr>
        <w:jc w:val="left"/>
        <w:rPr>
          <w:rFonts w:ascii="楷体" w:eastAsia="楷体" w:hAnsi="楷体" w:cs="宋体"/>
          <w:color w:val="474646"/>
          <w:kern w:val="0"/>
          <w:sz w:val="36"/>
          <w:szCs w:val="36"/>
        </w:rPr>
      </w:pPr>
      <w:r w:rsidRPr="00763630">
        <w:rPr>
          <w:rFonts w:ascii="楷体" w:eastAsia="楷体" w:hAnsi="楷体" w:cs="宋体" w:hint="eastAsia"/>
          <w:color w:val="474646"/>
          <w:kern w:val="0"/>
          <w:sz w:val="36"/>
          <w:szCs w:val="36"/>
        </w:rPr>
        <w:t>附</w:t>
      </w:r>
      <w:r w:rsidR="00763630" w:rsidRPr="00763630">
        <w:rPr>
          <w:rFonts w:ascii="楷体" w:eastAsia="楷体" w:hAnsi="楷体" w:cs="宋体" w:hint="eastAsia"/>
          <w:color w:val="474646"/>
          <w:kern w:val="0"/>
          <w:sz w:val="36"/>
          <w:szCs w:val="36"/>
        </w:rPr>
        <w:t>表1</w:t>
      </w:r>
    </w:p>
    <w:p w:rsidR="00EE508B" w:rsidRPr="00EF4B1E" w:rsidRDefault="00EE508B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  <w:r w:rsidRPr="00EF4B1E">
        <w:rPr>
          <w:rFonts w:asciiTheme="minorEastAsia" w:hAnsiTheme="minorEastAsia" w:cs="宋体" w:hint="eastAsia"/>
          <w:color w:val="474646"/>
          <w:kern w:val="0"/>
          <w:sz w:val="36"/>
          <w:szCs w:val="36"/>
        </w:rPr>
        <w:t>进口冷</w:t>
      </w:r>
      <w:proofErr w:type="gramStart"/>
      <w:r w:rsidRPr="00EF4B1E">
        <w:rPr>
          <w:rFonts w:asciiTheme="minorEastAsia" w:hAnsiTheme="minorEastAsia" w:cs="宋体" w:hint="eastAsia"/>
          <w:color w:val="474646"/>
          <w:kern w:val="0"/>
          <w:sz w:val="36"/>
          <w:szCs w:val="36"/>
        </w:rPr>
        <w:t>链食品</w:t>
      </w:r>
      <w:proofErr w:type="gramEnd"/>
      <w:r w:rsidRPr="00EF4B1E">
        <w:rPr>
          <w:rFonts w:asciiTheme="minorEastAsia" w:hAnsiTheme="minorEastAsia" w:cs="宋体" w:hint="eastAsia"/>
          <w:color w:val="474646"/>
          <w:kern w:val="0"/>
          <w:sz w:val="36"/>
          <w:szCs w:val="36"/>
        </w:rPr>
        <w:t>新型冠状病毒</w:t>
      </w:r>
      <w:r w:rsidR="00186C76" w:rsidRPr="00EF4B1E">
        <w:rPr>
          <w:rFonts w:asciiTheme="minorEastAsia" w:hAnsiTheme="minorEastAsia" w:cs="宋体" w:hint="eastAsia"/>
          <w:color w:val="474646"/>
          <w:kern w:val="0"/>
          <w:sz w:val="36"/>
          <w:szCs w:val="36"/>
        </w:rPr>
        <w:t>抽样规则表</w:t>
      </w:r>
    </w:p>
    <w:tbl>
      <w:tblPr>
        <w:tblStyle w:val="a7"/>
        <w:tblW w:w="7215" w:type="dxa"/>
        <w:jc w:val="center"/>
        <w:tblLook w:val="04A0" w:firstRow="1" w:lastRow="0" w:firstColumn="1" w:lastColumn="0" w:noHBand="0" w:noVBand="1"/>
      </w:tblPr>
      <w:tblGrid>
        <w:gridCol w:w="3712"/>
        <w:gridCol w:w="3503"/>
      </w:tblGrid>
      <w:tr w:rsidR="008649E2" w:rsidRPr="00AF6331" w:rsidTr="00EF4B1E">
        <w:trPr>
          <w:trHeight w:val="546"/>
          <w:jc w:val="center"/>
        </w:trPr>
        <w:tc>
          <w:tcPr>
            <w:tcW w:w="7215" w:type="dxa"/>
            <w:gridSpan w:val="2"/>
          </w:tcPr>
          <w:p w:rsidR="008649E2" w:rsidRPr="00AF6331" w:rsidRDefault="008649E2" w:rsidP="00AF6331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抽样方法</w:t>
            </w:r>
          </w:p>
        </w:tc>
      </w:tr>
      <w:tr w:rsidR="008649E2" w:rsidRPr="00AF6331" w:rsidTr="00EF4B1E">
        <w:trPr>
          <w:trHeight w:val="534"/>
          <w:jc w:val="center"/>
        </w:trPr>
        <w:tc>
          <w:tcPr>
            <w:tcW w:w="3712" w:type="dxa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数量</w:t>
            </w:r>
          </w:p>
        </w:tc>
        <w:tc>
          <w:tcPr>
            <w:tcW w:w="3503" w:type="dxa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抽检数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2-15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</w:t>
            </w:r>
          </w:p>
        </w:tc>
      </w:tr>
      <w:tr w:rsidR="008649E2" w:rsidRPr="00AF6331" w:rsidTr="00EF4B1E">
        <w:trPr>
          <w:trHeight w:val="559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16-25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3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26-90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5</w:t>
            </w:r>
          </w:p>
        </w:tc>
      </w:tr>
      <w:tr w:rsidR="008649E2" w:rsidRPr="00AF6331" w:rsidTr="00EF4B1E">
        <w:trPr>
          <w:trHeight w:val="654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91-150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8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151-500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13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501-1200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20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1201-10000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3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1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0001-35000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5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0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3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5001-50000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8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0</w:t>
            </w:r>
          </w:p>
        </w:tc>
      </w:tr>
      <w:tr w:rsidR="008649E2" w:rsidRPr="00AF6331" w:rsidTr="00EF4B1E">
        <w:trPr>
          <w:trHeight w:val="546"/>
          <w:jc w:val="center"/>
        </w:trPr>
        <w:tc>
          <w:tcPr>
            <w:tcW w:w="3712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&gt;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500000</w:t>
            </w:r>
          </w:p>
        </w:tc>
        <w:tc>
          <w:tcPr>
            <w:tcW w:w="3503" w:type="dxa"/>
            <w:vAlign w:val="center"/>
          </w:tcPr>
          <w:p w:rsidR="008649E2" w:rsidRPr="00AF6331" w:rsidRDefault="008649E2" w:rsidP="00EF4B1E">
            <w:pPr>
              <w:jc w:val="center"/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Theme="minorEastAsia" w:hAnsiTheme="minorEastAsia" w:cs="宋体" w:hint="eastAsia"/>
                <w:color w:val="474646"/>
                <w:kern w:val="0"/>
                <w:sz w:val="32"/>
                <w:szCs w:val="32"/>
              </w:rPr>
              <w:t>1</w:t>
            </w:r>
            <w:r w:rsidRPr="00AF6331">
              <w:rPr>
                <w:rFonts w:asciiTheme="minorEastAsia" w:hAnsiTheme="minorEastAsia" w:cs="宋体"/>
                <w:color w:val="474646"/>
                <w:kern w:val="0"/>
                <w:sz w:val="32"/>
                <w:szCs w:val="32"/>
              </w:rPr>
              <w:t>25</w:t>
            </w:r>
          </w:p>
        </w:tc>
      </w:tr>
    </w:tbl>
    <w:p w:rsidR="00EE508B" w:rsidRPr="00AF6331" w:rsidRDefault="00EF4B1E" w:rsidP="00EF4B1E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    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注：1</w:t>
      </w:r>
      <w:r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.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装卸时一个独立包装为一件。</w:t>
      </w:r>
    </w:p>
    <w:p w:rsidR="007A1452" w:rsidRPr="00AF6331" w:rsidRDefault="007A1452" w:rsidP="00AF6331">
      <w:pPr>
        <w:tabs>
          <w:tab w:val="center" w:pos="4393"/>
        </w:tabs>
        <w:ind w:firstLineChars="200" w:firstLine="640"/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2</w:t>
      </w:r>
      <w:r w:rsidR="00EF4B1E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.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小于</w:t>
      </w:r>
      <w:r w:rsidR="00A04369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2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件的全部抽检。</w:t>
      </w:r>
      <w:r w:rsidR="00223F1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ab/>
      </w:r>
    </w:p>
    <w:p w:rsidR="002B7A40" w:rsidRPr="00AF6331" w:rsidRDefault="007A1452" w:rsidP="00AF6331">
      <w:pPr>
        <w:ind w:firstLineChars="400" w:firstLine="1280"/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3</w:t>
      </w:r>
      <w:r w:rsidR="00EF4B1E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.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一件内有独立包装的一个独立包装为一个小包装，无独立包装的按照单体产品计算。小包装内还有独立包装的</w:t>
      </w:r>
      <w:r w:rsidR="00657A3E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，独立包装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按照小包装</w:t>
      </w:r>
      <w:r w:rsidR="00657A3E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要求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采样，依次类推，采样到包装内的单</w:t>
      </w:r>
      <w:r w:rsidR="002B7A40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lastRenderedPageBreak/>
        <w:t>体产品为止。</w:t>
      </w:r>
      <w:r w:rsidR="0020591E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例如：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1批食品为8</w:t>
      </w:r>
      <w:r w:rsidR="00415964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件，抽取5件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，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每件内外表面各采集</w:t>
      </w:r>
      <w:r w:rsidR="00415964" w:rsidRPr="00AF6331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1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份标本，这批食品大件共采集1</w:t>
      </w:r>
      <w:r w:rsidR="00415964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份标本；每件内有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10个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中包装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，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这批食品总共有8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00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中包装，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抽取2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个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中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包装采集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中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包装内外表面各1份标本，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这批食品中</w:t>
      </w:r>
      <w:proofErr w:type="gramStart"/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包装共</w:t>
      </w:r>
      <w:proofErr w:type="gramEnd"/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采集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40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份标本；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每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个中包装内有</w:t>
      </w:r>
      <w:r w:rsidR="006F108D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最小包装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1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个，这批食品总共有8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000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个</w:t>
      </w:r>
      <w:r w:rsidR="006F108D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最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小包装，抽取</w:t>
      </w:r>
      <w:r w:rsidR="008649E2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32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个小包装内外表面</w:t>
      </w:r>
      <w:r w:rsidR="00E6312B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和单体产品</w:t>
      </w:r>
      <w:r w:rsidR="008649E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各1份标本，</w:t>
      </w:r>
      <w:r w:rsidR="00E6312B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这批食品</w:t>
      </w:r>
      <w:r w:rsidR="006F108D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最</w:t>
      </w:r>
      <w:r w:rsidR="00E6312B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小包装及单体产品共采集</w:t>
      </w:r>
      <w:r w:rsidR="00E6312B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96</w:t>
      </w:r>
      <w:r w:rsidR="00E6312B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份标本。这批食品总共采集1</w:t>
      </w:r>
      <w:r w:rsidR="00E6312B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46</w:t>
      </w:r>
      <w:r w:rsidR="00E6312B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份标本。如果</w:t>
      </w:r>
      <w:r w:rsidR="006F108D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中包装内还有独立包装的按照中包装的抽样原则继续抽取至最小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包装</w:t>
      </w:r>
      <w:r w:rsidR="006F108D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及最小包装</w:t>
      </w:r>
      <w:r w:rsidR="00415964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内的单体产品。</w:t>
      </w:r>
    </w:p>
    <w:p w:rsidR="00223F13" w:rsidRPr="00AF6331" w:rsidRDefault="00223F13" w:rsidP="00AF6331">
      <w:pPr>
        <w:ind w:firstLineChars="200" w:firstLine="640"/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4</w:t>
      </w:r>
      <w:r w:rsidR="00EF4B1E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.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每份样品均为多点涂抹采样。</w:t>
      </w:r>
    </w:p>
    <w:p w:rsidR="00EE508B" w:rsidRPr="00AF6331" w:rsidRDefault="00EE508B" w:rsidP="00AF6331">
      <w:pPr>
        <w:ind w:firstLineChars="200" w:firstLine="640"/>
        <w:jc w:val="center"/>
        <w:rPr>
          <w:rFonts w:ascii="仿宋" w:eastAsia="仿宋" w:hAnsi="仿宋" w:cs="宋体"/>
          <w:color w:val="474646"/>
          <w:kern w:val="0"/>
          <w:sz w:val="32"/>
          <w:szCs w:val="32"/>
        </w:rPr>
        <w:sectPr w:rsidR="00EE508B" w:rsidRPr="00AF6331" w:rsidSect="004B7325">
          <w:footerReference w:type="default" r:id="rId6"/>
          <w:pgSz w:w="11906" w:h="16838" w:code="9"/>
          <w:pgMar w:top="2098" w:right="1474" w:bottom="1985" w:left="1588" w:header="0" w:footer="1531" w:gutter="0"/>
          <w:cols w:space="425"/>
          <w:docGrid w:type="lines" w:linePitch="312"/>
        </w:sectPr>
      </w:pPr>
    </w:p>
    <w:p w:rsidR="00763630" w:rsidRDefault="00763630" w:rsidP="00763630">
      <w:pPr>
        <w:jc w:val="left"/>
        <w:rPr>
          <w:rFonts w:ascii="宋体" w:eastAsia="宋体" w:hAnsi="宋体" w:cs="宋体"/>
          <w:color w:val="474646"/>
          <w:kern w:val="0"/>
          <w:sz w:val="36"/>
          <w:szCs w:val="36"/>
        </w:rPr>
      </w:pPr>
      <w:r w:rsidRPr="00763630">
        <w:rPr>
          <w:rFonts w:ascii="楷体" w:eastAsia="楷体" w:hAnsi="楷体" w:cs="宋体" w:hint="eastAsia"/>
          <w:color w:val="474646"/>
          <w:kern w:val="0"/>
          <w:sz w:val="32"/>
          <w:szCs w:val="32"/>
        </w:rPr>
        <w:lastRenderedPageBreak/>
        <w:t>附</w:t>
      </w:r>
      <w:r w:rsidR="004C47F2" w:rsidRPr="00763630">
        <w:rPr>
          <w:rFonts w:ascii="楷体" w:eastAsia="楷体" w:hAnsi="楷体" w:cs="宋体" w:hint="eastAsia"/>
          <w:color w:val="474646"/>
          <w:kern w:val="0"/>
          <w:sz w:val="32"/>
          <w:szCs w:val="32"/>
        </w:rPr>
        <w:t>表2</w:t>
      </w:r>
    </w:p>
    <w:p w:rsidR="00733AAA" w:rsidRPr="00763630" w:rsidRDefault="00763630" w:rsidP="00F506BD">
      <w:pPr>
        <w:jc w:val="center"/>
        <w:rPr>
          <w:rFonts w:ascii="宋体" w:eastAsia="宋体" w:hAnsi="宋体" w:cs="宋体"/>
          <w:b/>
          <w:color w:val="474646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474646"/>
          <w:kern w:val="0"/>
          <w:sz w:val="36"/>
          <w:szCs w:val="36"/>
        </w:rPr>
        <w:t xml:space="preserve"> </w:t>
      </w:r>
      <w:r w:rsidR="00733AAA" w:rsidRPr="00763630">
        <w:rPr>
          <w:rFonts w:ascii="宋体" w:eastAsia="宋体" w:hAnsi="宋体" w:cs="宋体" w:hint="eastAsia"/>
          <w:b/>
          <w:color w:val="474646"/>
          <w:kern w:val="0"/>
          <w:sz w:val="36"/>
          <w:szCs w:val="36"/>
        </w:rPr>
        <w:t>进口冷</w:t>
      </w:r>
      <w:proofErr w:type="gramStart"/>
      <w:r w:rsidR="00733AAA" w:rsidRPr="00763630">
        <w:rPr>
          <w:rFonts w:ascii="宋体" w:eastAsia="宋体" w:hAnsi="宋体" w:cs="宋体" w:hint="eastAsia"/>
          <w:b/>
          <w:color w:val="474646"/>
          <w:kern w:val="0"/>
          <w:sz w:val="36"/>
          <w:szCs w:val="36"/>
        </w:rPr>
        <w:t>链食品</w:t>
      </w:r>
      <w:proofErr w:type="gramEnd"/>
      <w:r w:rsidR="00733AAA" w:rsidRPr="00763630">
        <w:rPr>
          <w:rFonts w:ascii="宋体" w:eastAsia="宋体" w:hAnsi="宋体" w:cs="宋体" w:hint="eastAsia"/>
          <w:b/>
          <w:color w:val="474646"/>
          <w:kern w:val="0"/>
          <w:sz w:val="36"/>
          <w:szCs w:val="36"/>
        </w:rPr>
        <w:t>新型冠状病毒检测标本</w:t>
      </w:r>
      <w:r w:rsidR="00223F13" w:rsidRPr="00763630">
        <w:rPr>
          <w:rFonts w:ascii="宋体" w:eastAsia="宋体" w:hAnsi="宋体" w:cs="宋体" w:hint="eastAsia"/>
          <w:b/>
          <w:color w:val="474646"/>
          <w:kern w:val="0"/>
          <w:sz w:val="36"/>
          <w:szCs w:val="36"/>
        </w:rPr>
        <w:t>采样表</w:t>
      </w:r>
    </w:p>
    <w:p w:rsidR="00733AAA" w:rsidRPr="00AF6331" w:rsidRDefault="009761C8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采样地址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或监管总仓名称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：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 </w:t>
      </w:r>
      <w:r w:rsidR="007E05D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                                 </w:t>
      </w:r>
    </w:p>
    <w:p w:rsidR="00AB4776" w:rsidRPr="00AF6331" w:rsidRDefault="009761C8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报关单号：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</w:t>
      </w:r>
    </w:p>
    <w:p w:rsidR="009761C8" w:rsidRPr="00AF6331" w:rsidRDefault="009761C8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食品名称： </w:t>
      </w:r>
      <w:r w:rsidR="00AB4776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       </w:t>
      </w:r>
    </w:p>
    <w:p w:rsidR="00AB4776" w:rsidRPr="00AF6331" w:rsidRDefault="00AB4776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食品数量（同品种同批次）：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食品批号：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         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食品产地：</w:t>
      </w:r>
    </w:p>
    <w:p w:rsidR="009761C8" w:rsidRPr="00AF6331" w:rsidRDefault="009761C8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经营企业名称：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</w:t>
      </w:r>
      <w:r w:rsidR="00657A3E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 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承运企业：</w:t>
      </w:r>
    </w:p>
    <w:p w:rsidR="007E05D3" w:rsidRPr="00AF6331" w:rsidRDefault="007E05D3" w:rsidP="00AF6331">
      <w:pPr>
        <w:jc w:val="left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食品入库时间：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年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月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日 </w:t>
      </w:r>
      <w:r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940"/>
        <w:gridCol w:w="1825"/>
      </w:tblGrid>
      <w:tr w:rsidR="004C47F2" w:rsidRPr="00AF6331" w:rsidTr="00421A86">
        <w:trPr>
          <w:jc w:val="center"/>
        </w:trPr>
        <w:tc>
          <w:tcPr>
            <w:tcW w:w="988" w:type="dxa"/>
            <w:vMerge w:val="restart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样品编号</w:t>
            </w:r>
          </w:p>
        </w:tc>
        <w:tc>
          <w:tcPr>
            <w:tcW w:w="5483" w:type="dxa"/>
            <w:gridSpan w:val="3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进口冷链食品</w:t>
            </w:r>
          </w:p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（食品、人员、设施设备、环境）</w:t>
            </w:r>
          </w:p>
        </w:tc>
        <w:tc>
          <w:tcPr>
            <w:tcW w:w="1825" w:type="dxa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备注</w:t>
            </w:r>
          </w:p>
        </w:tc>
      </w:tr>
      <w:tr w:rsidR="004C47F2" w:rsidRPr="00AF6331" w:rsidTr="00516BEA">
        <w:trPr>
          <w:jc w:val="center"/>
        </w:trPr>
        <w:tc>
          <w:tcPr>
            <w:tcW w:w="988" w:type="dxa"/>
            <w:vMerge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样品名称</w:t>
            </w:r>
          </w:p>
        </w:tc>
        <w:tc>
          <w:tcPr>
            <w:tcW w:w="1701" w:type="dxa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样品类型</w:t>
            </w:r>
          </w:p>
        </w:tc>
        <w:tc>
          <w:tcPr>
            <w:tcW w:w="1940" w:type="dxa"/>
            <w:vAlign w:val="center"/>
          </w:tcPr>
          <w:p w:rsidR="004C47F2" w:rsidRPr="00AF6331" w:rsidRDefault="004C47F2" w:rsidP="00AF6331">
            <w:pPr>
              <w:jc w:val="center"/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采样部位</w:t>
            </w:r>
          </w:p>
        </w:tc>
        <w:tc>
          <w:tcPr>
            <w:tcW w:w="1825" w:type="dxa"/>
            <w:vAlign w:val="center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</w:tr>
      <w:tr w:rsidR="004C47F2" w:rsidRPr="00AF6331" w:rsidTr="00516BEA">
        <w:trPr>
          <w:jc w:val="center"/>
        </w:trPr>
        <w:tc>
          <w:tcPr>
            <w:tcW w:w="988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940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25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</w:tr>
      <w:tr w:rsidR="004C47F2" w:rsidRPr="00AF6331" w:rsidTr="00516BEA">
        <w:trPr>
          <w:jc w:val="center"/>
        </w:trPr>
        <w:tc>
          <w:tcPr>
            <w:tcW w:w="988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940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25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</w:tr>
      <w:tr w:rsidR="004C47F2" w:rsidRPr="00AF6331" w:rsidTr="00516BEA">
        <w:trPr>
          <w:jc w:val="center"/>
        </w:trPr>
        <w:tc>
          <w:tcPr>
            <w:tcW w:w="988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940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25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</w:tr>
      <w:tr w:rsidR="004C47F2" w:rsidRPr="00AF6331" w:rsidTr="00516BEA">
        <w:trPr>
          <w:jc w:val="center"/>
        </w:trPr>
        <w:tc>
          <w:tcPr>
            <w:tcW w:w="988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  <w:r w:rsidRPr="00AF6331">
              <w:rPr>
                <w:rFonts w:ascii="仿宋" w:eastAsia="仿宋" w:hAnsi="仿宋" w:cs="宋体" w:hint="eastAsia"/>
                <w:color w:val="474646"/>
                <w:kern w:val="0"/>
                <w:sz w:val="32"/>
                <w:szCs w:val="32"/>
              </w:rPr>
              <w:t>总计</w:t>
            </w:r>
          </w:p>
        </w:tc>
        <w:tc>
          <w:tcPr>
            <w:tcW w:w="1842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940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  <w:tc>
          <w:tcPr>
            <w:tcW w:w="1825" w:type="dxa"/>
          </w:tcPr>
          <w:p w:rsidR="004C47F2" w:rsidRPr="00AF6331" w:rsidRDefault="004C47F2" w:rsidP="00AF6331">
            <w:pPr>
              <w:rPr>
                <w:rFonts w:ascii="仿宋" w:eastAsia="仿宋" w:hAnsi="仿宋" w:cs="宋体"/>
                <w:color w:val="474646"/>
                <w:kern w:val="0"/>
                <w:sz w:val="32"/>
                <w:szCs w:val="32"/>
              </w:rPr>
            </w:pPr>
          </w:p>
        </w:tc>
      </w:tr>
    </w:tbl>
    <w:p w:rsidR="00733AAA" w:rsidRPr="00AF6331" w:rsidRDefault="009761C8" w:rsidP="00AF6331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采样人员：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 </w:t>
      </w:r>
      <w:r w:rsidR="007E05D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 </w:t>
      </w:r>
      <w:r w:rsidR="00AB4776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 </w:t>
      </w:r>
      <w:r w:rsidR="00EF4B1E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采样时间： </w:t>
      </w:r>
      <w:r w:rsidR="007E05D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年</w:t>
      </w:r>
      <w:r w:rsidR="007E05D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  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月 </w:t>
      </w:r>
      <w:r w:rsidR="00EF4B1E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 xml:space="preserve">日 </w:t>
      </w:r>
      <w:r w:rsidR="007E05D3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</w:t>
      </w:r>
      <w:r w:rsidR="00E6312B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 xml:space="preserve"> </w:t>
      </w:r>
      <w:r w:rsidR="007E05D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时</w:t>
      </w:r>
    </w:p>
    <w:p w:rsidR="004C47F2" w:rsidRPr="00AF6331" w:rsidRDefault="004D6266" w:rsidP="00AF6331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注：</w:t>
      </w:r>
      <w:r w:rsidR="00657A3E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1</w:t>
      </w:r>
      <w:r w:rsidR="00223F13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.</w:t>
      </w:r>
      <w:r w:rsidR="00AB4776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样本名称：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如</w:t>
      </w:r>
      <w:r w:rsidR="0050022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装卸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人员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+姓名</w:t>
      </w:r>
      <w:r w:rsidR="00AB4776" w:rsidRPr="00AF6331">
        <w:rPr>
          <w:rFonts w:ascii="仿宋" w:eastAsia="仿宋" w:hAnsi="仿宋" w:cs="宋体"/>
          <w:color w:val="474646"/>
          <w:kern w:val="0"/>
          <w:sz w:val="32"/>
          <w:szCs w:val="32"/>
        </w:rPr>
        <w:t>,</w:t>
      </w:r>
      <w:r w:rsidR="0050022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管理人员+姓名、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冰箱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+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冰箱的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编号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（如果多台冰箱）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，冷藏车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+车牌号，电梯按钮、楼梯扶手、门把手表面，茶水间、卫生间等公用设备设施需描述</w:t>
      </w:r>
      <w:r w:rsidR="00EF6358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相对</w:t>
      </w:r>
      <w:r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位置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等；</w:t>
      </w:r>
    </w:p>
    <w:p w:rsidR="004C47F2" w:rsidRPr="00AF6331" w:rsidRDefault="00657A3E" w:rsidP="00AF6331">
      <w:pPr>
        <w:ind w:firstLineChars="200" w:firstLine="643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2</w:t>
      </w:r>
      <w:r w:rsidR="00223F13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.</w:t>
      </w:r>
      <w:r w:rsidR="00AB4776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样本类型</w:t>
      </w:r>
      <w:r w:rsidR="004D6266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：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如咽拭子、衣物表面、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手部表面、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物体表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lastRenderedPageBreak/>
        <w:t>面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（如箱体、车体、冷库）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、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食品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表面等</w:t>
      </w:r>
      <w:r w:rsidR="00AB477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；</w:t>
      </w:r>
    </w:p>
    <w:p w:rsidR="004D6266" w:rsidRPr="00AF6331" w:rsidRDefault="00657A3E" w:rsidP="00AF6331">
      <w:pPr>
        <w:ind w:firstLineChars="200" w:firstLine="643"/>
        <w:rPr>
          <w:rFonts w:ascii="仿宋" w:eastAsia="仿宋" w:hAnsi="仿宋" w:cs="宋体"/>
          <w:color w:val="474646"/>
          <w:kern w:val="0"/>
          <w:sz w:val="32"/>
          <w:szCs w:val="32"/>
        </w:rPr>
      </w:pPr>
      <w:r w:rsidRPr="00EF4B1E">
        <w:rPr>
          <w:rFonts w:ascii="仿宋" w:eastAsia="仿宋" w:hAnsi="仿宋" w:cs="宋体"/>
          <w:b/>
          <w:color w:val="474646"/>
          <w:kern w:val="0"/>
          <w:sz w:val="32"/>
          <w:szCs w:val="32"/>
        </w:rPr>
        <w:t>3</w:t>
      </w:r>
      <w:r w:rsidR="00223F13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.</w:t>
      </w:r>
      <w:r w:rsidR="004D6266" w:rsidRPr="00EF4B1E">
        <w:rPr>
          <w:rFonts w:ascii="仿宋" w:eastAsia="仿宋" w:hAnsi="仿宋" w:cs="宋体" w:hint="eastAsia"/>
          <w:b/>
          <w:color w:val="474646"/>
          <w:kern w:val="0"/>
          <w:sz w:val="32"/>
          <w:szCs w:val="32"/>
        </w:rPr>
        <w:t>采样部位</w:t>
      </w:r>
      <w:r w:rsidR="004D6266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：如咽部、衣物袖口、左手手指、车把手、</w:t>
      </w:r>
      <w:r w:rsidR="00EF6358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门把手、箱体内</w:t>
      </w:r>
      <w:r w:rsidR="004C47F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侧、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冷藏车</w:t>
      </w:r>
      <w:r w:rsidR="004C47F2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内侧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（冷库）左门内侧等人或物体采样部位描述</w:t>
      </w:r>
      <w:r w:rsidR="00223F13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详细</w:t>
      </w:r>
      <w:r w:rsidR="000429DF" w:rsidRPr="00AF6331">
        <w:rPr>
          <w:rFonts w:ascii="仿宋" w:eastAsia="仿宋" w:hAnsi="仿宋" w:cs="宋体" w:hint="eastAsia"/>
          <w:color w:val="474646"/>
          <w:kern w:val="0"/>
          <w:sz w:val="32"/>
          <w:szCs w:val="32"/>
        </w:rPr>
        <w:t>位置。</w:t>
      </w:r>
    </w:p>
    <w:p w:rsidR="00EF4B1E" w:rsidRDefault="00EF4B1E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Default="00763630" w:rsidP="00181693">
      <w:pPr>
        <w:rPr>
          <w:rFonts w:ascii="仿宋" w:eastAsia="仿宋" w:hAnsi="仿宋" w:cs="宋体"/>
          <w:color w:val="474646"/>
          <w:kern w:val="0"/>
          <w:sz w:val="32"/>
          <w:szCs w:val="32"/>
        </w:rPr>
      </w:pPr>
    </w:p>
    <w:p w:rsidR="00763630" w:rsidRPr="00763630" w:rsidRDefault="00763630" w:rsidP="00181693">
      <w:pPr>
        <w:rPr>
          <w:rFonts w:ascii="楷体" w:eastAsia="楷体" w:hAnsi="楷体" w:cs="宋体"/>
          <w:color w:val="474646"/>
          <w:kern w:val="0"/>
          <w:sz w:val="32"/>
          <w:szCs w:val="32"/>
        </w:rPr>
      </w:pPr>
      <w:r w:rsidRPr="00763630">
        <w:rPr>
          <w:rFonts w:ascii="楷体" w:eastAsia="楷体" w:hAnsi="楷体" w:cs="宋体" w:hint="eastAsia"/>
          <w:color w:val="474646"/>
          <w:kern w:val="0"/>
          <w:sz w:val="32"/>
          <w:szCs w:val="32"/>
        </w:rPr>
        <w:lastRenderedPageBreak/>
        <w:t>附表3</w:t>
      </w:r>
    </w:p>
    <w:p w:rsidR="00763630" w:rsidRDefault="00763630" w:rsidP="00F506BD">
      <w:pPr>
        <w:jc w:val="center"/>
        <w:rPr>
          <w:rFonts w:asciiTheme="minorEastAsia" w:hAnsiTheme="minorEastAsia" w:cs="宋体"/>
          <w:color w:val="474646"/>
          <w:kern w:val="0"/>
          <w:sz w:val="36"/>
          <w:szCs w:val="36"/>
        </w:rPr>
      </w:pPr>
      <w:r>
        <w:rPr>
          <w:rFonts w:asciiTheme="minorEastAsia" w:hAnsiTheme="minorEastAsia" w:cs="宋体" w:hint="eastAsia"/>
          <w:color w:val="474646"/>
          <w:kern w:val="0"/>
          <w:sz w:val="36"/>
          <w:szCs w:val="36"/>
        </w:rPr>
        <w:t xml:space="preserve"> </w:t>
      </w:r>
    </w:p>
    <w:p w:rsidR="00E42A21" w:rsidRDefault="00E42A21" w:rsidP="00F506BD">
      <w:pPr>
        <w:jc w:val="center"/>
        <w:rPr>
          <w:rFonts w:asciiTheme="minorEastAsia" w:hAnsiTheme="minorEastAsia" w:cs="宋体"/>
          <w:b/>
          <w:color w:val="474646"/>
          <w:kern w:val="0"/>
          <w:sz w:val="36"/>
          <w:szCs w:val="36"/>
        </w:rPr>
      </w:pPr>
      <w:r w:rsidRPr="00763630">
        <w:rPr>
          <w:rFonts w:asciiTheme="minorEastAsia" w:hAnsiTheme="minorEastAsia" w:cs="宋体" w:hint="eastAsia"/>
          <w:b/>
          <w:color w:val="474646"/>
          <w:kern w:val="0"/>
          <w:sz w:val="36"/>
          <w:szCs w:val="36"/>
        </w:rPr>
        <w:t>进口冷</w:t>
      </w:r>
      <w:proofErr w:type="gramStart"/>
      <w:r w:rsidRPr="00763630">
        <w:rPr>
          <w:rFonts w:asciiTheme="minorEastAsia" w:hAnsiTheme="minorEastAsia" w:cs="宋体" w:hint="eastAsia"/>
          <w:b/>
          <w:color w:val="474646"/>
          <w:kern w:val="0"/>
          <w:sz w:val="36"/>
          <w:szCs w:val="36"/>
        </w:rPr>
        <w:t>链食品</w:t>
      </w:r>
      <w:proofErr w:type="gramEnd"/>
      <w:r w:rsidRPr="00763630">
        <w:rPr>
          <w:rFonts w:asciiTheme="minorEastAsia" w:hAnsiTheme="minorEastAsia" w:cs="宋体" w:hint="eastAsia"/>
          <w:b/>
          <w:color w:val="474646"/>
          <w:kern w:val="0"/>
          <w:sz w:val="36"/>
          <w:szCs w:val="36"/>
        </w:rPr>
        <w:t>新型冠状病毒检测结果汇总表</w:t>
      </w:r>
    </w:p>
    <w:p w:rsidR="00763630" w:rsidRPr="00763630" w:rsidRDefault="00763630" w:rsidP="00F506BD">
      <w:pPr>
        <w:jc w:val="center"/>
        <w:rPr>
          <w:rFonts w:asciiTheme="minorEastAsia" w:hAnsiTheme="minorEastAsia" w:cs="宋体"/>
          <w:b/>
          <w:color w:val="474646"/>
          <w:kern w:val="0"/>
          <w:sz w:val="36"/>
          <w:szCs w:val="36"/>
        </w:rPr>
      </w:pPr>
    </w:p>
    <w:tbl>
      <w:tblPr>
        <w:tblStyle w:val="a7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417"/>
        <w:gridCol w:w="1276"/>
        <w:gridCol w:w="1276"/>
      </w:tblGrid>
      <w:tr w:rsidR="00512EF4" w:rsidRPr="00AF6331" w:rsidTr="00EF4B1E">
        <w:trPr>
          <w:jc w:val="center"/>
        </w:trPr>
        <w:tc>
          <w:tcPr>
            <w:tcW w:w="1560" w:type="dxa"/>
          </w:tcPr>
          <w:p w:rsidR="00512EF4" w:rsidRPr="00EF4B1E" w:rsidRDefault="00512EF4" w:rsidP="00EF4B1E">
            <w:pPr>
              <w:spacing w:line="276" w:lineRule="auto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检测对象</w:t>
            </w:r>
          </w:p>
        </w:tc>
        <w:tc>
          <w:tcPr>
            <w:tcW w:w="1417" w:type="dxa"/>
          </w:tcPr>
          <w:p w:rsidR="00512EF4" w:rsidRPr="00EF4B1E" w:rsidRDefault="00512EF4" w:rsidP="00EF4B1E">
            <w:pPr>
              <w:spacing w:line="276" w:lineRule="auto"/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名称</w:t>
            </w:r>
          </w:p>
        </w:tc>
        <w:tc>
          <w:tcPr>
            <w:tcW w:w="1418" w:type="dxa"/>
          </w:tcPr>
          <w:p w:rsidR="00512EF4" w:rsidRPr="00EF4B1E" w:rsidRDefault="00512EF4" w:rsidP="00EF4B1E">
            <w:pPr>
              <w:spacing w:line="276" w:lineRule="auto"/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检测时间</w:t>
            </w:r>
          </w:p>
        </w:tc>
        <w:tc>
          <w:tcPr>
            <w:tcW w:w="1417" w:type="dxa"/>
          </w:tcPr>
          <w:p w:rsidR="00512EF4" w:rsidRPr="00EF4B1E" w:rsidRDefault="00512EF4" w:rsidP="00EF4B1E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检测数量合计（件）</w:t>
            </w:r>
          </w:p>
        </w:tc>
        <w:tc>
          <w:tcPr>
            <w:tcW w:w="1276" w:type="dxa"/>
          </w:tcPr>
          <w:p w:rsidR="00512EF4" w:rsidRPr="00EF4B1E" w:rsidRDefault="00512EF4" w:rsidP="00EF4B1E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阳性数量（件）</w:t>
            </w:r>
          </w:p>
        </w:tc>
        <w:tc>
          <w:tcPr>
            <w:tcW w:w="1276" w:type="dxa"/>
          </w:tcPr>
          <w:p w:rsidR="00512EF4" w:rsidRPr="00EF4B1E" w:rsidRDefault="00512EF4" w:rsidP="00EF4B1E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备注</w:t>
            </w:r>
          </w:p>
        </w:tc>
      </w:tr>
      <w:tr w:rsidR="00512EF4" w:rsidRPr="00AF6331" w:rsidTr="00EF4B1E">
        <w:trPr>
          <w:jc w:val="center"/>
        </w:trPr>
        <w:tc>
          <w:tcPr>
            <w:tcW w:w="2977" w:type="dxa"/>
            <w:gridSpan w:val="2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冷</w:t>
            </w:r>
            <w:proofErr w:type="gramStart"/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链食品</w:t>
            </w:r>
            <w:proofErr w:type="gramEnd"/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2977" w:type="dxa"/>
            <w:gridSpan w:val="2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食品包装</w:t>
            </w: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2977" w:type="dxa"/>
            <w:gridSpan w:val="2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环境</w:t>
            </w: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1560" w:type="dxa"/>
            <w:vMerge w:val="restart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从业人员</w:t>
            </w:r>
          </w:p>
        </w:tc>
        <w:tc>
          <w:tcPr>
            <w:tcW w:w="1417" w:type="dxa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咽拭子</w:t>
            </w: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1560" w:type="dxa"/>
            <w:vMerge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衣物</w:t>
            </w: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1560" w:type="dxa"/>
            <w:vMerge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手</w:t>
            </w: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  <w:tr w:rsidR="00512EF4" w:rsidRPr="00AF6331" w:rsidTr="00EF4B1E">
        <w:trPr>
          <w:jc w:val="center"/>
        </w:trPr>
        <w:tc>
          <w:tcPr>
            <w:tcW w:w="1560" w:type="dxa"/>
          </w:tcPr>
          <w:p w:rsidR="00512EF4" w:rsidRPr="00EF4B1E" w:rsidRDefault="00512EF4" w:rsidP="00AF6331">
            <w:pPr>
              <w:jc w:val="center"/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  <w:r w:rsidRPr="00EF4B1E">
              <w:rPr>
                <w:rFonts w:ascii="仿宋_GB2312" w:eastAsia="仿宋_GB2312" w:hAnsi="仿宋" w:cs="宋体" w:hint="eastAsia"/>
                <w:color w:val="474646"/>
                <w:kern w:val="0"/>
                <w:sz w:val="30"/>
                <w:szCs w:val="30"/>
              </w:rPr>
              <w:t>合计</w:t>
            </w: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8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417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  <w:tc>
          <w:tcPr>
            <w:tcW w:w="1276" w:type="dxa"/>
          </w:tcPr>
          <w:p w:rsidR="00512EF4" w:rsidRPr="00EF4B1E" w:rsidRDefault="00512EF4" w:rsidP="00AF6331">
            <w:pPr>
              <w:rPr>
                <w:rFonts w:ascii="仿宋_GB2312" w:eastAsia="仿宋_GB2312" w:hAnsi="仿宋" w:cs="宋体"/>
                <w:color w:val="474646"/>
                <w:kern w:val="0"/>
                <w:sz w:val="30"/>
                <w:szCs w:val="30"/>
              </w:rPr>
            </w:pPr>
          </w:p>
        </w:tc>
      </w:tr>
    </w:tbl>
    <w:p w:rsidR="00E42A21" w:rsidRPr="00AF6331" w:rsidRDefault="00E42A21" w:rsidP="00AF6331">
      <w:pPr>
        <w:ind w:firstLineChars="200" w:firstLine="640"/>
        <w:rPr>
          <w:rFonts w:ascii="仿宋_GB2312" w:eastAsia="仿宋_GB2312" w:hAnsi="仿宋" w:cs="宋体"/>
          <w:color w:val="474646"/>
          <w:kern w:val="0"/>
          <w:sz w:val="32"/>
          <w:szCs w:val="32"/>
        </w:rPr>
      </w:pPr>
    </w:p>
    <w:sectPr w:rsidR="00E42A21" w:rsidRPr="00AF6331" w:rsidSect="00AB4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A5" w:rsidRDefault="00FE5DA5" w:rsidP="004C3044">
      <w:r>
        <w:separator/>
      </w:r>
    </w:p>
  </w:endnote>
  <w:endnote w:type="continuationSeparator" w:id="0">
    <w:p w:rsidR="00FE5DA5" w:rsidRDefault="00FE5DA5" w:rsidP="004C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965639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181693" w:rsidRPr="00181693" w:rsidRDefault="00181693" w:rsidP="00181693">
        <w:pPr>
          <w:pStyle w:val="a5"/>
          <w:jc w:val="center"/>
          <w:rPr>
            <w:rFonts w:ascii="仿宋" w:eastAsia="仿宋" w:hAnsi="仿宋"/>
            <w:sz w:val="24"/>
            <w:szCs w:val="24"/>
          </w:rPr>
        </w:pPr>
        <w:r w:rsidRPr="00181693">
          <w:rPr>
            <w:rFonts w:ascii="仿宋" w:eastAsia="仿宋" w:hAnsi="仿宋"/>
            <w:sz w:val="24"/>
            <w:szCs w:val="24"/>
          </w:rPr>
          <w:t>—</w:t>
        </w:r>
        <w:r w:rsidRPr="00181693">
          <w:rPr>
            <w:rFonts w:ascii="仿宋" w:eastAsia="仿宋" w:hAnsi="仿宋"/>
            <w:sz w:val="24"/>
            <w:szCs w:val="24"/>
          </w:rPr>
          <w:fldChar w:fldCharType="begin"/>
        </w:r>
        <w:r w:rsidRPr="00181693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181693">
          <w:rPr>
            <w:rFonts w:ascii="仿宋" w:eastAsia="仿宋" w:hAnsi="仿宋"/>
            <w:sz w:val="24"/>
            <w:szCs w:val="24"/>
          </w:rPr>
          <w:fldChar w:fldCharType="separate"/>
        </w:r>
        <w:r w:rsidR="00D74649" w:rsidRPr="00D74649">
          <w:rPr>
            <w:rFonts w:ascii="仿宋" w:eastAsia="仿宋" w:hAnsi="仿宋"/>
            <w:noProof/>
            <w:sz w:val="24"/>
            <w:szCs w:val="24"/>
            <w:lang w:val="zh-CN"/>
          </w:rPr>
          <w:t>8</w:t>
        </w:r>
        <w:r w:rsidRPr="00181693">
          <w:rPr>
            <w:rFonts w:ascii="仿宋" w:eastAsia="仿宋" w:hAnsi="仿宋"/>
            <w:sz w:val="24"/>
            <w:szCs w:val="24"/>
          </w:rPr>
          <w:fldChar w:fldCharType="end"/>
        </w:r>
        <w:r w:rsidRPr="00181693">
          <w:rPr>
            <w:rFonts w:ascii="仿宋" w:eastAsia="仿宋" w:hAnsi="仿宋"/>
            <w:sz w:val="24"/>
            <w:szCs w:val="24"/>
          </w:rPr>
          <w:t>—</w:t>
        </w:r>
      </w:p>
    </w:sdtContent>
  </w:sdt>
  <w:p w:rsidR="00181693" w:rsidRDefault="001816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A5" w:rsidRDefault="00FE5DA5" w:rsidP="004C3044">
      <w:r>
        <w:separator/>
      </w:r>
    </w:p>
  </w:footnote>
  <w:footnote w:type="continuationSeparator" w:id="0">
    <w:p w:rsidR="00FE5DA5" w:rsidRDefault="00FE5DA5" w:rsidP="004C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8D"/>
    <w:rsid w:val="00007EB8"/>
    <w:rsid w:val="000262F7"/>
    <w:rsid w:val="000406CE"/>
    <w:rsid w:val="000429DF"/>
    <w:rsid w:val="000F4028"/>
    <w:rsid w:val="0013476E"/>
    <w:rsid w:val="00145F2D"/>
    <w:rsid w:val="00181693"/>
    <w:rsid w:val="00186C76"/>
    <w:rsid w:val="001A5560"/>
    <w:rsid w:val="00200C07"/>
    <w:rsid w:val="00202B5F"/>
    <w:rsid w:val="0020591E"/>
    <w:rsid w:val="002139B5"/>
    <w:rsid w:val="00223F13"/>
    <w:rsid w:val="00260FBA"/>
    <w:rsid w:val="00262ED6"/>
    <w:rsid w:val="00264F5E"/>
    <w:rsid w:val="002B7A40"/>
    <w:rsid w:val="002D4035"/>
    <w:rsid w:val="002F5AC8"/>
    <w:rsid w:val="002F73BA"/>
    <w:rsid w:val="00314DD5"/>
    <w:rsid w:val="0036461A"/>
    <w:rsid w:val="003672F6"/>
    <w:rsid w:val="00375FD5"/>
    <w:rsid w:val="00407637"/>
    <w:rsid w:val="00415964"/>
    <w:rsid w:val="00420D41"/>
    <w:rsid w:val="00427D16"/>
    <w:rsid w:val="004366B6"/>
    <w:rsid w:val="00442049"/>
    <w:rsid w:val="004A0B0B"/>
    <w:rsid w:val="004B7325"/>
    <w:rsid w:val="004C3044"/>
    <w:rsid w:val="004C47F2"/>
    <w:rsid w:val="004D6266"/>
    <w:rsid w:val="004E5AF8"/>
    <w:rsid w:val="00500226"/>
    <w:rsid w:val="00502C8D"/>
    <w:rsid w:val="00512EF4"/>
    <w:rsid w:val="00516BEA"/>
    <w:rsid w:val="00533932"/>
    <w:rsid w:val="0057406A"/>
    <w:rsid w:val="005B0533"/>
    <w:rsid w:val="005C3E1D"/>
    <w:rsid w:val="005D543A"/>
    <w:rsid w:val="005E3302"/>
    <w:rsid w:val="00613063"/>
    <w:rsid w:val="006137E5"/>
    <w:rsid w:val="00625656"/>
    <w:rsid w:val="00630D84"/>
    <w:rsid w:val="006318E7"/>
    <w:rsid w:val="00637A7E"/>
    <w:rsid w:val="00657A3E"/>
    <w:rsid w:val="006857F3"/>
    <w:rsid w:val="006E14F6"/>
    <w:rsid w:val="006F108D"/>
    <w:rsid w:val="006F1F8B"/>
    <w:rsid w:val="007015A0"/>
    <w:rsid w:val="007304B9"/>
    <w:rsid w:val="00733AAA"/>
    <w:rsid w:val="007403F8"/>
    <w:rsid w:val="0075711B"/>
    <w:rsid w:val="00763630"/>
    <w:rsid w:val="00790E96"/>
    <w:rsid w:val="007A1452"/>
    <w:rsid w:val="007B0F0A"/>
    <w:rsid w:val="007E05D3"/>
    <w:rsid w:val="007F78AE"/>
    <w:rsid w:val="00801EA1"/>
    <w:rsid w:val="00806067"/>
    <w:rsid w:val="00822705"/>
    <w:rsid w:val="008626D1"/>
    <w:rsid w:val="008643E6"/>
    <w:rsid w:val="008649E2"/>
    <w:rsid w:val="00875B45"/>
    <w:rsid w:val="008D2350"/>
    <w:rsid w:val="008D7E8D"/>
    <w:rsid w:val="009036FC"/>
    <w:rsid w:val="009502F8"/>
    <w:rsid w:val="00976113"/>
    <w:rsid w:val="009761C8"/>
    <w:rsid w:val="009A5489"/>
    <w:rsid w:val="009A72FC"/>
    <w:rsid w:val="009E27B3"/>
    <w:rsid w:val="009F720D"/>
    <w:rsid w:val="00A04369"/>
    <w:rsid w:val="00A067C3"/>
    <w:rsid w:val="00A41E83"/>
    <w:rsid w:val="00A46D9F"/>
    <w:rsid w:val="00A81AE7"/>
    <w:rsid w:val="00A94318"/>
    <w:rsid w:val="00AA75D1"/>
    <w:rsid w:val="00AB3944"/>
    <w:rsid w:val="00AB4633"/>
    <w:rsid w:val="00AB4776"/>
    <w:rsid w:val="00AD1B1B"/>
    <w:rsid w:val="00AD7172"/>
    <w:rsid w:val="00AE3665"/>
    <w:rsid w:val="00AE459E"/>
    <w:rsid w:val="00AF06F5"/>
    <w:rsid w:val="00AF5785"/>
    <w:rsid w:val="00AF6331"/>
    <w:rsid w:val="00B06DEC"/>
    <w:rsid w:val="00B30D48"/>
    <w:rsid w:val="00B34136"/>
    <w:rsid w:val="00B549EE"/>
    <w:rsid w:val="00BD1B70"/>
    <w:rsid w:val="00BE3CAF"/>
    <w:rsid w:val="00BF4F8E"/>
    <w:rsid w:val="00C0794B"/>
    <w:rsid w:val="00C80359"/>
    <w:rsid w:val="00CA1E6C"/>
    <w:rsid w:val="00CA5226"/>
    <w:rsid w:val="00CC35C6"/>
    <w:rsid w:val="00CE1657"/>
    <w:rsid w:val="00D02A59"/>
    <w:rsid w:val="00D17DC3"/>
    <w:rsid w:val="00D2170E"/>
    <w:rsid w:val="00D74649"/>
    <w:rsid w:val="00D91634"/>
    <w:rsid w:val="00D97D36"/>
    <w:rsid w:val="00DF0470"/>
    <w:rsid w:val="00E025A0"/>
    <w:rsid w:val="00E158A8"/>
    <w:rsid w:val="00E40B5C"/>
    <w:rsid w:val="00E42A21"/>
    <w:rsid w:val="00E6312B"/>
    <w:rsid w:val="00E836B2"/>
    <w:rsid w:val="00E93F70"/>
    <w:rsid w:val="00EE508B"/>
    <w:rsid w:val="00EF4B1E"/>
    <w:rsid w:val="00EF6358"/>
    <w:rsid w:val="00F40E07"/>
    <w:rsid w:val="00F4219C"/>
    <w:rsid w:val="00F42C77"/>
    <w:rsid w:val="00F506BD"/>
    <w:rsid w:val="00FB53C5"/>
    <w:rsid w:val="00FE39FD"/>
    <w:rsid w:val="00FE5DA5"/>
    <w:rsid w:val="00F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743825-34D3-4FDF-861B-7F5F1216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0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044"/>
    <w:rPr>
      <w:sz w:val="18"/>
      <w:szCs w:val="18"/>
    </w:rPr>
  </w:style>
  <w:style w:type="table" w:styleId="a7">
    <w:name w:val="Table Grid"/>
    <w:basedOn w:val="a1"/>
    <w:uiPriority w:val="39"/>
    <w:rsid w:val="0073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04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F04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兴国</dc:creator>
  <cp:keywords/>
  <dc:description/>
  <cp:lastModifiedBy>admin</cp:lastModifiedBy>
  <cp:revision>37</cp:revision>
  <cp:lastPrinted>2020-11-18T01:49:00Z</cp:lastPrinted>
  <dcterms:created xsi:type="dcterms:W3CDTF">2020-11-15T15:00:00Z</dcterms:created>
  <dcterms:modified xsi:type="dcterms:W3CDTF">2020-11-18T10:01:00Z</dcterms:modified>
</cp:coreProperties>
</file>