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市州应急管理局督导检查工作进展情况调度表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填报单位（盖章）：                                              填报时间：  年  月  日</w:t>
      </w:r>
    </w:p>
    <w:tbl>
      <w:tblPr>
        <w:tblStyle w:val="3"/>
        <w:tblW w:w="14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100"/>
        <w:gridCol w:w="1075"/>
        <w:gridCol w:w="437"/>
        <w:gridCol w:w="450"/>
        <w:gridCol w:w="433"/>
        <w:gridCol w:w="430"/>
        <w:gridCol w:w="745"/>
        <w:gridCol w:w="417"/>
        <w:gridCol w:w="413"/>
        <w:gridCol w:w="450"/>
        <w:gridCol w:w="425"/>
        <w:gridCol w:w="833"/>
        <w:gridCol w:w="1012"/>
        <w:gridCol w:w="950"/>
        <w:gridCol w:w="888"/>
        <w:gridCol w:w="1025"/>
        <w:gridCol w:w="837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 w:bidi="ar-SA"/>
              </w:rPr>
              <w:t>检查事项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组织情况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现有企业数量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已检查企业数量</w:t>
            </w: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发现隐患数量</w:t>
            </w:r>
          </w:p>
        </w:tc>
        <w:tc>
          <w:tcPr>
            <w:tcW w:w="2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执法处罚情况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default" w:ascii="楷体_GB2312" w:hAnsi="黑体" w:eastAsia="楷体_GB2312" w:cs="Times New Roman"/>
                <w:b/>
                <w:sz w:val="30"/>
                <w:szCs w:val="30"/>
                <w:lang w:bidi="ar-SA"/>
              </w:rPr>
            </w:pPr>
            <w:r>
              <w:rPr>
                <w:rFonts w:hint="default" w:ascii="楷体_GB2312" w:hAnsi="黑体" w:eastAsia="楷体_GB2312" w:cs="Times New Roman"/>
                <w:b/>
                <w:sz w:val="24"/>
                <w:szCs w:val="24"/>
                <w:lang w:eastAsia="zh-CN" w:bidi="ar-SA"/>
              </w:rPr>
              <w:t>危化品企业</w:t>
            </w:r>
            <w:r>
              <w:rPr>
                <w:rFonts w:hint="eastAsia" w:ascii="楷体_GB2312" w:hAnsi="黑体" w:eastAsia="楷体_GB2312" w:cs="Times New Roman"/>
                <w:b/>
                <w:sz w:val="24"/>
                <w:szCs w:val="24"/>
                <w:lang w:eastAsia="zh-CN" w:bidi="ar-SA"/>
              </w:rPr>
              <w:t>专项督导</w:t>
            </w:r>
            <w:r>
              <w:rPr>
                <w:rFonts w:hint="default" w:ascii="楷体_GB2312" w:hAnsi="黑体" w:eastAsia="楷体_GB2312" w:cs="Times New Roman"/>
                <w:b/>
                <w:sz w:val="24"/>
                <w:szCs w:val="24"/>
                <w:lang w:eastAsia="zh-CN" w:bidi="ar-SA"/>
              </w:rPr>
              <w:t>检查情况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检查组（个）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检查人员（人）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生产</w:t>
            </w: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经营</w:t>
            </w:r>
          </w:p>
        </w:tc>
        <w:tc>
          <w:tcPr>
            <w:tcW w:w="4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使用</w:t>
            </w:r>
          </w:p>
        </w:tc>
        <w:tc>
          <w:tcPr>
            <w:tcW w:w="4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  <w:t>医药</w:t>
            </w:r>
          </w:p>
        </w:tc>
        <w:tc>
          <w:tcPr>
            <w:tcW w:w="7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  <w:t>油气管道</w:t>
            </w:r>
          </w:p>
        </w:tc>
        <w:tc>
          <w:tcPr>
            <w:tcW w:w="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生产</w:t>
            </w:r>
          </w:p>
        </w:tc>
        <w:tc>
          <w:tcPr>
            <w:tcW w:w="4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经营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使用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仿宋_GB2312" w:hAnsi="黑体" w:eastAsia="仿宋_GB2312" w:cs="Times New Roman"/>
                <w:sz w:val="24"/>
                <w:szCs w:val="24"/>
                <w:lang w:eastAsia="zh-CN" w:bidi="ar-SA"/>
              </w:rPr>
              <w:t>医药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  <w:t>油气管道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一般隐患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重大隐患</w:t>
            </w:r>
          </w:p>
        </w:tc>
        <w:tc>
          <w:tcPr>
            <w:tcW w:w="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执法文书（份）</w:t>
            </w:r>
          </w:p>
        </w:tc>
        <w:tc>
          <w:tcPr>
            <w:tcW w:w="10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停产整顿（家）</w:t>
            </w:r>
          </w:p>
        </w:tc>
        <w:tc>
          <w:tcPr>
            <w:tcW w:w="8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Calibri" w:hAnsi="Calibri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bidi="ar-SA"/>
              </w:rPr>
              <w:t>关闭（家）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default" w:ascii="仿宋_GB2312" w:hAnsi="黑体" w:eastAsia="仿宋_GB2312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593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1"/>
                <w:szCs w:val="22"/>
                <w:lang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4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4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7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eastAsia="zh-CN" w:bidi="ar-SA"/>
              </w:rPr>
            </w:pPr>
          </w:p>
        </w:tc>
        <w:tc>
          <w:tcPr>
            <w:tcW w:w="4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2"/>
                <w:lang w:bidi="ar-SA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2"/>
                <w:lang w:bidi="ar-SA"/>
              </w:rPr>
            </w:pPr>
          </w:p>
        </w:tc>
        <w:tc>
          <w:tcPr>
            <w:tcW w:w="8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3"/>
        <w:tblW w:w="141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600"/>
        <w:gridCol w:w="1140"/>
        <w:gridCol w:w="1762"/>
        <w:gridCol w:w="1001"/>
        <w:gridCol w:w="956"/>
        <w:gridCol w:w="955"/>
        <w:gridCol w:w="1"/>
        <w:gridCol w:w="989"/>
        <w:gridCol w:w="1025"/>
        <w:gridCol w:w="1334"/>
        <w:gridCol w:w="84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51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其他专项检查发现问题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隐患</w:t>
            </w:r>
            <w:r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整改情况</w:t>
            </w:r>
          </w:p>
        </w:tc>
        <w:tc>
          <w:tcPr>
            <w:tcW w:w="4502" w:type="dxa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2020年危化品重点县专家督导服务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重大危险源专项检查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硝酸铵储存领域专项检查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4" w:hRule="atLeast"/>
          <w:jc w:val="center"/>
        </w:trPr>
        <w:tc>
          <w:tcPr>
            <w:tcW w:w="251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60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存在</w:t>
            </w:r>
            <w:r>
              <w:rPr>
                <w:rFonts w:hint="eastAsia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的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隐患数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已完成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整改</w:t>
            </w:r>
          </w:p>
        </w:tc>
        <w:tc>
          <w:tcPr>
            <w:tcW w:w="176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限期整改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时限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存在</w:t>
            </w:r>
            <w:r>
              <w:rPr>
                <w:rFonts w:hint="eastAsia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的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隐患数</w:t>
            </w:r>
          </w:p>
        </w:tc>
        <w:tc>
          <w:tcPr>
            <w:tcW w:w="956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已完成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整改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限期整改时限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存在的隐患数</w:t>
            </w:r>
          </w:p>
        </w:tc>
        <w:tc>
          <w:tcPr>
            <w:tcW w:w="102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已完成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整改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限期整改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时限</w:t>
            </w:r>
          </w:p>
        </w:tc>
        <w:tc>
          <w:tcPr>
            <w:tcW w:w="847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5" w:hRule="atLeast"/>
          <w:jc w:val="center"/>
        </w:trPr>
        <w:tc>
          <w:tcPr>
            <w:tcW w:w="251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6" w:hRule="atLeast"/>
          <w:jc w:val="center"/>
        </w:trPr>
        <w:tc>
          <w:tcPr>
            <w:tcW w:w="251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6" w:hRule="atLeast"/>
          <w:jc w:val="center"/>
        </w:trPr>
        <w:tc>
          <w:tcPr>
            <w:tcW w:w="251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6" w:hRule="atLeast"/>
          <w:jc w:val="center"/>
        </w:trPr>
        <w:tc>
          <w:tcPr>
            <w:tcW w:w="251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填报单位主要负责人（签字）：</w:t>
      </w:r>
      <w:r>
        <w:rPr>
          <w:rFonts w:hint="default"/>
          <w:lang w:val="en-US" w:eastAsia="zh-CN"/>
        </w:rPr>
        <w:t xml:space="preserve">                </w:t>
      </w:r>
    </w:p>
    <w:p>
      <w:pPr>
        <w:pStyle w:val="2"/>
        <w:ind w:left="0" w:leftChars="0" w:firstLine="0" w:firstLineChars="0"/>
        <w:rPr>
          <w:rFonts w:hint="default"/>
          <w:sz w:val="28"/>
          <w:szCs w:val="32"/>
          <w:lang w:val="en-US" w:eastAsia="zh-CN"/>
        </w:rPr>
      </w:pPr>
      <w:r>
        <w:rPr>
          <w:rFonts w:hint="default"/>
          <w:sz w:val="28"/>
          <w:szCs w:val="32"/>
          <w:lang w:val="en-US" w:eastAsia="zh-CN"/>
        </w:rPr>
        <w:t>注：请于每</w:t>
      </w:r>
      <w:r>
        <w:rPr>
          <w:rFonts w:hint="eastAsia"/>
          <w:sz w:val="28"/>
          <w:szCs w:val="32"/>
          <w:lang w:val="en-US" w:eastAsia="zh-CN"/>
        </w:rPr>
        <w:t>周五12时</w:t>
      </w:r>
      <w:r>
        <w:rPr>
          <w:rFonts w:hint="default"/>
          <w:sz w:val="28"/>
          <w:szCs w:val="32"/>
          <w:lang w:val="en-US" w:eastAsia="zh-CN"/>
        </w:rPr>
        <w:t>前将此表报送省应急厅，从3月</w:t>
      </w:r>
      <w:r>
        <w:rPr>
          <w:rFonts w:hint="eastAsia"/>
          <w:sz w:val="28"/>
          <w:szCs w:val="32"/>
          <w:lang w:val="en-US" w:eastAsia="zh-CN"/>
        </w:rPr>
        <w:t>5</w:t>
      </w:r>
      <w:r>
        <w:rPr>
          <w:rFonts w:hint="default"/>
          <w:sz w:val="28"/>
          <w:szCs w:val="32"/>
          <w:lang w:val="en-US" w:eastAsia="zh-CN"/>
        </w:rPr>
        <w:t>日起开始填报。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50A2D"/>
    <w:rsid w:val="4D026825"/>
    <w:rsid w:val="61150A2D"/>
    <w:rsid w:val="767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影子364</dc:creator>
  <cp:lastModifiedBy>影子364</cp:lastModifiedBy>
  <dcterms:modified xsi:type="dcterms:W3CDTF">2021-03-04T01:13:33Z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