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肉制品生产监督检查统计表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vertAlign w:val="baseline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</w:rPr>
        <w:t>填报单位</w:t>
      </w:r>
      <w:r>
        <w:rPr>
          <w:rFonts w:hint="eastAsia" w:ascii="仿宋_GB2312" w:hAnsi="仿宋_GB2312" w:cs="仿宋_GB2312"/>
          <w:sz w:val="28"/>
          <w:szCs w:val="28"/>
          <w:vertAlign w:val="baseli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</w:rPr>
        <w:t>填报日期:</w:t>
      </w:r>
    </w:p>
    <w:tbl>
      <w:tblPr>
        <w:tblStyle w:val="6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7"/>
        <w:gridCol w:w="2726"/>
        <w:gridCol w:w="1273"/>
        <w:gridCol w:w="1215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检查生产者情况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生产企业</w:t>
            </w:r>
          </w:p>
        </w:tc>
        <w:tc>
          <w:tcPr>
            <w:tcW w:w="52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总数(家)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自建养殖厂的企业(家)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实行原料供应商审核的企业(家)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实施质量管理体系认证的企业(家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tabs>
                <w:tab w:val="left" w:pos="1909"/>
              </w:tabs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加工小作坊(家)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监督抽考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40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主要负责人(人)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合格(人)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0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食品安全管理人员(人)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合格(人)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自查报告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开展自查的生产企业(家)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风险报告的生产企业(家)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产品抽检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情况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抽查产品(批次)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不合格产品(批次)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问题处置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情况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发现问题(家)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责令整改(家)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责令停产(家)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立案查处(家)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罚没金额(万元)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吊销许可证(张)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移送公安机关(家)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7B52"/>
    <w:rsid w:val="645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ascii="Times New Roman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华文仿宋" w:hAnsi="华文仿宋" w:eastAsia="华文仿宋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2020-12-01T11:58:00Z</dcterms:created>
  <dc:creator>1103-4</dc:creator>
  <cp:lastModifiedBy>1103-4</cp:lastModifiedBy>
  <dcterms:modified xsi:type="dcterms:W3CDTF">2020-12-01T11:58:21Z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