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AB6" w:rsidRDefault="00123786">
      <w:pPr>
        <w:jc w:val="left"/>
        <w:rPr>
          <w:rFonts w:ascii="仿宋" w:eastAsia="仿宋" w:hAnsi="仿宋" w:cs="仿宋"/>
          <w:sz w:val="32"/>
          <w:szCs w:val="32"/>
        </w:rPr>
      </w:pPr>
      <w:bookmarkStart w:id="0" w:name="_GoBack"/>
      <w:bookmarkEnd w:id="0"/>
      <w:r>
        <w:rPr>
          <w:rFonts w:ascii="仿宋" w:eastAsia="仿宋" w:hAnsi="仿宋" w:cs="仿宋" w:hint="eastAsia"/>
          <w:sz w:val="32"/>
          <w:szCs w:val="32"/>
        </w:rPr>
        <w:t>附</w:t>
      </w:r>
      <w:r>
        <w:rPr>
          <w:rFonts w:ascii="仿宋" w:eastAsia="仿宋" w:hAnsi="仿宋" w:cs="仿宋" w:hint="eastAsia"/>
          <w:sz w:val="32"/>
          <w:szCs w:val="32"/>
        </w:rPr>
        <w:t>件</w:t>
      </w:r>
    </w:p>
    <w:p w:rsidR="00627AB6" w:rsidRDefault="00123786">
      <w:pPr>
        <w:ind w:firstLineChars="200" w:firstLine="723"/>
        <w:jc w:val="center"/>
        <w:rPr>
          <w:rFonts w:ascii="仿宋" w:eastAsia="仿宋" w:hAnsi="仿宋" w:cs="仿宋"/>
          <w:sz w:val="36"/>
          <w:szCs w:val="36"/>
        </w:rPr>
      </w:pPr>
      <w:r>
        <w:rPr>
          <w:rFonts w:asciiTheme="majorEastAsia" w:eastAsiaTheme="majorEastAsia" w:hAnsiTheme="majorEastAsia" w:cstheme="majorEastAsia" w:hint="eastAsia"/>
          <w:b/>
          <w:bCs/>
          <w:sz w:val="36"/>
          <w:szCs w:val="36"/>
        </w:rPr>
        <w:t>山东省工业和信息化厅“证照分离”改革试点贯彻落实措施</w:t>
      </w:r>
    </w:p>
    <w:tbl>
      <w:tblPr>
        <w:tblStyle w:val="a6"/>
        <w:tblpPr w:leftFromText="180" w:rightFromText="180" w:vertAnchor="text" w:horzAnchor="page" w:tblpX="1033" w:tblpY="2075"/>
        <w:tblOverlap w:val="never"/>
        <w:tblW w:w="14065" w:type="dxa"/>
        <w:tblLayout w:type="fixed"/>
        <w:tblLook w:val="04A0" w:firstRow="1" w:lastRow="0" w:firstColumn="1" w:lastColumn="0" w:noHBand="0" w:noVBand="1"/>
      </w:tblPr>
      <w:tblGrid>
        <w:gridCol w:w="787"/>
        <w:gridCol w:w="2613"/>
        <w:gridCol w:w="2022"/>
        <w:gridCol w:w="1275"/>
        <w:gridCol w:w="3450"/>
        <w:gridCol w:w="3918"/>
      </w:tblGrid>
      <w:tr w:rsidR="00627AB6">
        <w:trPr>
          <w:trHeight w:val="557"/>
        </w:trPr>
        <w:tc>
          <w:tcPr>
            <w:tcW w:w="787" w:type="dxa"/>
            <w:vAlign w:val="center"/>
          </w:tcPr>
          <w:p w:rsidR="00627AB6" w:rsidRDefault="00123786">
            <w:pPr>
              <w:jc w:val="center"/>
              <w:rPr>
                <w:rFonts w:ascii="黑体" w:eastAsia="黑体" w:hAnsi="黑体" w:cs="黑体"/>
                <w:sz w:val="24"/>
              </w:rPr>
            </w:pPr>
            <w:r>
              <w:rPr>
                <w:rFonts w:ascii="黑体" w:eastAsia="黑体" w:hAnsi="黑体" w:cs="黑体" w:hint="eastAsia"/>
                <w:sz w:val="24"/>
              </w:rPr>
              <w:t>序号</w:t>
            </w:r>
          </w:p>
        </w:tc>
        <w:tc>
          <w:tcPr>
            <w:tcW w:w="2613" w:type="dxa"/>
            <w:vAlign w:val="center"/>
          </w:tcPr>
          <w:p w:rsidR="00627AB6" w:rsidRDefault="00123786">
            <w:pPr>
              <w:jc w:val="center"/>
              <w:rPr>
                <w:rFonts w:ascii="黑体" w:eastAsia="黑体" w:hAnsi="黑体" w:cs="黑体"/>
                <w:sz w:val="24"/>
              </w:rPr>
            </w:pPr>
            <w:r>
              <w:rPr>
                <w:rFonts w:ascii="黑体" w:eastAsia="黑体" w:hAnsi="黑体" w:cs="黑体"/>
                <w:sz w:val="24"/>
              </w:rPr>
              <w:t>涉企经营许可事项</w:t>
            </w:r>
          </w:p>
        </w:tc>
        <w:tc>
          <w:tcPr>
            <w:tcW w:w="2022" w:type="dxa"/>
            <w:vAlign w:val="center"/>
          </w:tcPr>
          <w:p w:rsidR="00627AB6" w:rsidRDefault="00123786">
            <w:pPr>
              <w:jc w:val="center"/>
              <w:rPr>
                <w:rFonts w:ascii="黑体" w:eastAsia="黑体" w:hAnsi="黑体" w:cs="黑体"/>
                <w:sz w:val="24"/>
              </w:rPr>
            </w:pPr>
            <w:r>
              <w:rPr>
                <w:rFonts w:ascii="黑体" w:eastAsia="黑体" w:hAnsi="黑体" w:cs="黑体"/>
                <w:sz w:val="24"/>
              </w:rPr>
              <w:t>审批层级和部门</w:t>
            </w:r>
          </w:p>
        </w:tc>
        <w:tc>
          <w:tcPr>
            <w:tcW w:w="1275" w:type="dxa"/>
            <w:vAlign w:val="center"/>
          </w:tcPr>
          <w:p w:rsidR="00627AB6" w:rsidRDefault="00123786">
            <w:pPr>
              <w:jc w:val="center"/>
              <w:rPr>
                <w:rFonts w:ascii="黑体" w:eastAsia="黑体" w:hAnsi="黑体" w:cs="黑体"/>
                <w:sz w:val="24"/>
              </w:rPr>
            </w:pPr>
            <w:r>
              <w:rPr>
                <w:rFonts w:ascii="黑体" w:eastAsia="黑体" w:hAnsi="黑体" w:cs="黑体"/>
                <w:sz w:val="24"/>
              </w:rPr>
              <w:t>改革方式</w:t>
            </w:r>
          </w:p>
        </w:tc>
        <w:tc>
          <w:tcPr>
            <w:tcW w:w="3450" w:type="dxa"/>
            <w:vAlign w:val="center"/>
          </w:tcPr>
          <w:p w:rsidR="00627AB6" w:rsidRDefault="00123786">
            <w:pPr>
              <w:jc w:val="center"/>
              <w:rPr>
                <w:rFonts w:ascii="黑体" w:eastAsia="黑体" w:hAnsi="黑体" w:cs="黑体"/>
                <w:sz w:val="24"/>
              </w:rPr>
            </w:pPr>
            <w:r>
              <w:rPr>
                <w:rFonts w:ascii="黑体" w:eastAsia="黑体" w:hAnsi="黑体" w:cs="黑体"/>
                <w:sz w:val="24"/>
              </w:rPr>
              <w:t>贯彻落实措施</w:t>
            </w:r>
          </w:p>
        </w:tc>
        <w:tc>
          <w:tcPr>
            <w:tcW w:w="3918" w:type="dxa"/>
            <w:vAlign w:val="center"/>
          </w:tcPr>
          <w:p w:rsidR="00627AB6" w:rsidRDefault="00123786">
            <w:pPr>
              <w:jc w:val="center"/>
              <w:rPr>
                <w:rFonts w:ascii="黑体" w:eastAsia="黑体" w:hAnsi="黑体" w:cs="黑体"/>
                <w:sz w:val="24"/>
              </w:rPr>
            </w:pPr>
            <w:r>
              <w:rPr>
                <w:rFonts w:ascii="黑体" w:eastAsia="黑体" w:hAnsi="黑体" w:cs="黑体" w:hint="eastAsia"/>
                <w:sz w:val="24"/>
              </w:rPr>
              <w:t>加强事中事后监管措施</w:t>
            </w:r>
          </w:p>
        </w:tc>
      </w:tr>
      <w:tr w:rsidR="00627AB6">
        <w:tc>
          <w:tcPr>
            <w:tcW w:w="787" w:type="dxa"/>
            <w:vAlign w:val="center"/>
          </w:tcPr>
          <w:p w:rsidR="00627AB6" w:rsidRDefault="00123786">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2613" w:type="dxa"/>
            <w:vAlign w:val="center"/>
          </w:tcPr>
          <w:p w:rsidR="00627AB6" w:rsidRDefault="00123786">
            <w:pPr>
              <w:widowControl/>
              <w:jc w:val="left"/>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lang w:bidi="ar"/>
              </w:rPr>
              <w:t>食盐定点批发企业审批</w:t>
            </w:r>
          </w:p>
        </w:tc>
        <w:tc>
          <w:tcPr>
            <w:tcW w:w="2022" w:type="dxa"/>
            <w:vAlign w:val="center"/>
          </w:tcPr>
          <w:p w:rsidR="00627AB6" w:rsidRDefault="00123786">
            <w:pPr>
              <w:widowControl/>
              <w:jc w:val="left"/>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lang w:bidi="ar"/>
              </w:rPr>
              <w:t>省工业和信息化厅</w:t>
            </w:r>
            <w:r>
              <w:rPr>
                <w:rFonts w:asciiTheme="minorEastAsia" w:hAnsiTheme="minorEastAsia" w:cstheme="minorEastAsia" w:hint="eastAsia"/>
                <w:color w:val="000000"/>
                <w:kern w:val="0"/>
                <w:szCs w:val="21"/>
                <w:lang w:bidi="ar"/>
              </w:rPr>
              <w:t>，省工信系统权责清单中事项名称为“食盐定点批发企业审核审批”</w:t>
            </w:r>
          </w:p>
        </w:tc>
        <w:tc>
          <w:tcPr>
            <w:tcW w:w="1275" w:type="dxa"/>
            <w:vAlign w:val="center"/>
          </w:tcPr>
          <w:p w:rsidR="00627AB6" w:rsidRDefault="00123786">
            <w:pPr>
              <w:widowControl/>
              <w:jc w:val="center"/>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lang w:bidi="ar"/>
              </w:rPr>
              <w:t>优化审批服务</w:t>
            </w:r>
          </w:p>
        </w:tc>
        <w:tc>
          <w:tcPr>
            <w:tcW w:w="3450" w:type="dxa"/>
            <w:vAlign w:val="center"/>
          </w:tcPr>
          <w:p w:rsidR="00627AB6" w:rsidRDefault="00123786">
            <w:pPr>
              <w:widowControl/>
              <w:jc w:val="left"/>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lang w:bidi="ar"/>
              </w:rPr>
              <w:t>不再要求申请人提供营业执照复印件。</w:t>
            </w:r>
          </w:p>
        </w:tc>
        <w:tc>
          <w:tcPr>
            <w:tcW w:w="3918" w:type="dxa"/>
            <w:vAlign w:val="center"/>
          </w:tcPr>
          <w:p w:rsidR="00627AB6" w:rsidRDefault="00123786">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1.</w:t>
            </w:r>
            <w:r>
              <w:rPr>
                <w:rFonts w:asciiTheme="minorEastAsia" w:hAnsiTheme="minorEastAsia" w:cstheme="minorEastAsia" w:hint="eastAsia"/>
                <w:kern w:val="0"/>
                <w:szCs w:val="21"/>
                <w:lang w:bidi="ar"/>
              </w:rPr>
              <w:t>严格执行有关法律法规和标准，对食盐定点批发企业加强监管。</w:t>
            </w:r>
            <w:r>
              <w:rPr>
                <w:rFonts w:asciiTheme="minorEastAsia" w:hAnsiTheme="minorEastAsia" w:cstheme="minorEastAsia" w:hint="eastAsia"/>
                <w:kern w:val="0"/>
                <w:szCs w:val="21"/>
                <w:lang w:bidi="ar"/>
              </w:rPr>
              <w:t>2.</w:t>
            </w:r>
            <w:r>
              <w:rPr>
                <w:rFonts w:asciiTheme="minorEastAsia" w:hAnsiTheme="minorEastAsia" w:cstheme="minorEastAsia" w:hint="eastAsia"/>
                <w:kern w:val="0"/>
                <w:szCs w:val="21"/>
                <w:lang w:bidi="ar"/>
              </w:rPr>
              <w:t>加强信用监管，向社会公布食盐定点批发企业信用状况，对失信主体开展联合惩戒。</w:t>
            </w:r>
          </w:p>
        </w:tc>
      </w:tr>
      <w:tr w:rsidR="00627AB6">
        <w:tc>
          <w:tcPr>
            <w:tcW w:w="787" w:type="dxa"/>
            <w:vAlign w:val="center"/>
          </w:tcPr>
          <w:p w:rsidR="00627AB6" w:rsidRDefault="00123786">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2613" w:type="dxa"/>
            <w:vAlign w:val="center"/>
          </w:tcPr>
          <w:p w:rsidR="00627AB6" w:rsidRDefault="00123786">
            <w:pPr>
              <w:widowControl/>
              <w:jc w:val="left"/>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lang w:bidi="ar"/>
              </w:rPr>
              <w:t>食盐定点生产企业审批</w:t>
            </w:r>
          </w:p>
        </w:tc>
        <w:tc>
          <w:tcPr>
            <w:tcW w:w="2022" w:type="dxa"/>
            <w:vAlign w:val="center"/>
          </w:tcPr>
          <w:p w:rsidR="00627AB6" w:rsidRDefault="00123786">
            <w:pPr>
              <w:widowControl/>
              <w:jc w:val="left"/>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lang w:bidi="ar"/>
              </w:rPr>
              <w:t>省工业和信息化厅</w:t>
            </w:r>
            <w:r>
              <w:rPr>
                <w:rFonts w:asciiTheme="minorEastAsia" w:hAnsiTheme="minorEastAsia" w:cstheme="minorEastAsia" w:hint="eastAsia"/>
                <w:color w:val="000000"/>
                <w:kern w:val="0"/>
                <w:szCs w:val="21"/>
                <w:lang w:bidi="ar"/>
              </w:rPr>
              <w:t>，省工信系统权责清单中事项名称为“食盐定点生产企业审核审批”</w:t>
            </w:r>
          </w:p>
        </w:tc>
        <w:tc>
          <w:tcPr>
            <w:tcW w:w="1275" w:type="dxa"/>
            <w:vAlign w:val="center"/>
          </w:tcPr>
          <w:p w:rsidR="00627AB6" w:rsidRDefault="00123786">
            <w:pPr>
              <w:widowControl/>
              <w:jc w:val="center"/>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lang w:bidi="ar"/>
              </w:rPr>
              <w:t>优化审批服务</w:t>
            </w:r>
          </w:p>
        </w:tc>
        <w:tc>
          <w:tcPr>
            <w:tcW w:w="3450" w:type="dxa"/>
            <w:vAlign w:val="center"/>
          </w:tcPr>
          <w:p w:rsidR="00627AB6" w:rsidRDefault="00123786">
            <w:pPr>
              <w:widowControl/>
              <w:jc w:val="left"/>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lang w:bidi="ar"/>
              </w:rPr>
              <w:t>不再要求申请人提供营业执照复印件。</w:t>
            </w:r>
          </w:p>
        </w:tc>
        <w:tc>
          <w:tcPr>
            <w:tcW w:w="3918" w:type="dxa"/>
            <w:vAlign w:val="center"/>
          </w:tcPr>
          <w:p w:rsidR="00627AB6" w:rsidRDefault="00123786">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1.</w:t>
            </w:r>
            <w:r>
              <w:rPr>
                <w:rFonts w:asciiTheme="minorEastAsia" w:hAnsiTheme="minorEastAsia" w:cstheme="minorEastAsia" w:hint="eastAsia"/>
                <w:kern w:val="0"/>
                <w:szCs w:val="21"/>
                <w:lang w:bidi="ar"/>
              </w:rPr>
              <w:t>严格执行有关法律法规和标准，对食盐定点生产企业加强监管。</w:t>
            </w:r>
            <w:r>
              <w:rPr>
                <w:rFonts w:asciiTheme="minorEastAsia" w:hAnsiTheme="minorEastAsia" w:cstheme="minorEastAsia" w:hint="eastAsia"/>
                <w:kern w:val="0"/>
                <w:szCs w:val="21"/>
                <w:lang w:bidi="ar"/>
              </w:rPr>
              <w:t>2.</w:t>
            </w:r>
            <w:r>
              <w:rPr>
                <w:rFonts w:asciiTheme="minorEastAsia" w:hAnsiTheme="minorEastAsia" w:cstheme="minorEastAsia" w:hint="eastAsia"/>
                <w:kern w:val="0"/>
                <w:szCs w:val="21"/>
                <w:lang w:bidi="ar"/>
              </w:rPr>
              <w:t>加强信用监管，向社会公布食盐定点生产企业信用状况，对失信主体开展联合惩戒。</w:t>
            </w:r>
          </w:p>
        </w:tc>
      </w:tr>
      <w:tr w:rsidR="00627AB6">
        <w:tc>
          <w:tcPr>
            <w:tcW w:w="787" w:type="dxa"/>
            <w:vAlign w:val="center"/>
          </w:tcPr>
          <w:p w:rsidR="00627AB6" w:rsidRDefault="00123786">
            <w:pPr>
              <w:jc w:val="center"/>
              <w:rPr>
                <w:rFonts w:asciiTheme="minorEastAsia" w:hAnsiTheme="minorEastAsia" w:cstheme="minorEastAsia"/>
                <w:szCs w:val="21"/>
              </w:rPr>
            </w:pPr>
            <w:r>
              <w:rPr>
                <w:rFonts w:asciiTheme="minorEastAsia" w:hAnsiTheme="minorEastAsia" w:cstheme="minorEastAsia" w:hint="eastAsia"/>
                <w:szCs w:val="21"/>
              </w:rPr>
              <w:t>3</w:t>
            </w:r>
          </w:p>
        </w:tc>
        <w:tc>
          <w:tcPr>
            <w:tcW w:w="2613" w:type="dxa"/>
            <w:vAlign w:val="center"/>
          </w:tcPr>
          <w:p w:rsidR="00627AB6" w:rsidRDefault="00123786">
            <w:pPr>
              <w:widowControl/>
              <w:jc w:val="left"/>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lang w:bidi="ar"/>
              </w:rPr>
              <w:t>民用爆炸物品生产许可</w:t>
            </w:r>
          </w:p>
        </w:tc>
        <w:tc>
          <w:tcPr>
            <w:tcW w:w="2022" w:type="dxa"/>
            <w:vAlign w:val="center"/>
          </w:tcPr>
          <w:p w:rsidR="00627AB6" w:rsidRDefault="00123786">
            <w:pPr>
              <w:widowControl/>
              <w:jc w:val="left"/>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lang w:bidi="ar"/>
              </w:rPr>
              <w:t>工业和信息化部负责许可，省工业和信息化厅负责初审，事项为“民用爆炸物品</w:t>
            </w:r>
            <w:r>
              <w:rPr>
                <w:rFonts w:asciiTheme="minorEastAsia" w:hAnsiTheme="minorEastAsia" w:cstheme="minorEastAsia" w:hint="eastAsia"/>
                <w:color w:val="000000"/>
                <w:kern w:val="0"/>
                <w:szCs w:val="21"/>
                <w:lang w:bidi="ar"/>
              </w:rPr>
              <w:lastRenderedPageBreak/>
              <w:t>生产许可证审核”</w:t>
            </w:r>
          </w:p>
        </w:tc>
        <w:tc>
          <w:tcPr>
            <w:tcW w:w="1275" w:type="dxa"/>
            <w:vAlign w:val="center"/>
          </w:tcPr>
          <w:p w:rsidR="00627AB6" w:rsidRDefault="00123786">
            <w:pPr>
              <w:widowControl/>
              <w:jc w:val="center"/>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lang w:bidi="ar"/>
              </w:rPr>
              <w:lastRenderedPageBreak/>
              <w:t>优化审批服务</w:t>
            </w:r>
          </w:p>
        </w:tc>
        <w:tc>
          <w:tcPr>
            <w:tcW w:w="3450" w:type="dxa"/>
            <w:vAlign w:val="center"/>
          </w:tcPr>
          <w:p w:rsidR="00627AB6" w:rsidRDefault="00123786">
            <w:pPr>
              <w:widowControl/>
              <w:jc w:val="left"/>
              <w:textAlignment w:val="center"/>
              <w:rPr>
                <w:rFonts w:asciiTheme="minorEastAsia" w:hAnsiTheme="minorEastAsia" w:cstheme="minorEastAsia"/>
                <w:szCs w:val="21"/>
              </w:rPr>
            </w:pPr>
            <w:r>
              <w:rPr>
                <w:rStyle w:val="font11"/>
                <w:rFonts w:asciiTheme="minorEastAsia" w:eastAsiaTheme="minorEastAsia" w:hAnsiTheme="minorEastAsia" w:cstheme="minorEastAsia" w:hint="eastAsia"/>
                <w:sz w:val="21"/>
                <w:szCs w:val="21"/>
                <w:lang w:bidi="ar"/>
              </w:rPr>
              <w:t>将审批时限由</w:t>
            </w:r>
            <w:r>
              <w:rPr>
                <w:rStyle w:val="font01"/>
                <w:rFonts w:asciiTheme="minorEastAsia" w:hAnsiTheme="minorEastAsia" w:cstheme="minorEastAsia" w:hint="eastAsia"/>
                <w:sz w:val="21"/>
                <w:szCs w:val="21"/>
                <w:lang w:bidi="ar"/>
              </w:rPr>
              <w:t>45</w:t>
            </w:r>
            <w:r>
              <w:rPr>
                <w:rStyle w:val="font11"/>
                <w:rFonts w:asciiTheme="minorEastAsia" w:eastAsiaTheme="minorEastAsia" w:hAnsiTheme="minorEastAsia" w:cstheme="minorEastAsia" w:hint="eastAsia"/>
                <w:sz w:val="21"/>
                <w:szCs w:val="21"/>
                <w:lang w:bidi="ar"/>
              </w:rPr>
              <w:t>个工作日压减至</w:t>
            </w:r>
            <w:r>
              <w:rPr>
                <w:rStyle w:val="font01"/>
                <w:rFonts w:asciiTheme="minorEastAsia" w:hAnsiTheme="minorEastAsia" w:cstheme="minorEastAsia" w:hint="eastAsia"/>
                <w:sz w:val="21"/>
                <w:szCs w:val="21"/>
                <w:lang w:bidi="ar"/>
              </w:rPr>
              <w:t>30</w:t>
            </w:r>
            <w:r>
              <w:rPr>
                <w:rStyle w:val="font11"/>
                <w:rFonts w:asciiTheme="minorEastAsia" w:eastAsiaTheme="minorEastAsia" w:hAnsiTheme="minorEastAsia" w:cstheme="minorEastAsia" w:hint="eastAsia"/>
                <w:sz w:val="21"/>
                <w:szCs w:val="21"/>
                <w:lang w:bidi="ar"/>
              </w:rPr>
              <w:t>个工作日。</w:t>
            </w:r>
          </w:p>
        </w:tc>
        <w:tc>
          <w:tcPr>
            <w:tcW w:w="3918" w:type="dxa"/>
            <w:vAlign w:val="center"/>
          </w:tcPr>
          <w:p w:rsidR="00627AB6" w:rsidRDefault="00123786">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1.</w:t>
            </w:r>
            <w:r>
              <w:rPr>
                <w:rFonts w:asciiTheme="minorEastAsia" w:hAnsiTheme="minorEastAsia" w:cstheme="minorEastAsia" w:hint="eastAsia"/>
                <w:kern w:val="0"/>
                <w:szCs w:val="21"/>
                <w:lang w:bidi="ar"/>
              </w:rPr>
              <w:t>开展“双随机、一公开”监管，发现违法违规行为的要依法依规查处并公开结果。</w:t>
            </w:r>
            <w:r>
              <w:rPr>
                <w:rFonts w:asciiTheme="minorEastAsia" w:hAnsiTheme="minorEastAsia" w:cstheme="minorEastAsia" w:hint="eastAsia"/>
                <w:kern w:val="0"/>
                <w:szCs w:val="21"/>
                <w:lang w:bidi="ar"/>
              </w:rPr>
              <w:t>2.</w:t>
            </w:r>
            <w:r>
              <w:rPr>
                <w:rFonts w:asciiTheme="minorEastAsia" w:hAnsiTheme="minorEastAsia" w:cstheme="minorEastAsia" w:hint="eastAsia"/>
                <w:kern w:val="0"/>
                <w:szCs w:val="21"/>
                <w:lang w:bidi="ar"/>
              </w:rPr>
              <w:t>依法从严查处或向有关部门报告未经许可生产民用爆炸物品、利用现场混装</w:t>
            </w:r>
            <w:r>
              <w:rPr>
                <w:rFonts w:asciiTheme="minorEastAsia" w:hAnsiTheme="minorEastAsia" w:cstheme="minorEastAsia" w:hint="eastAsia"/>
                <w:kern w:val="0"/>
                <w:szCs w:val="21"/>
                <w:lang w:bidi="ar"/>
              </w:rPr>
              <w:lastRenderedPageBreak/>
              <w:t>炸药作业系统非法生产工业炸药的行为。</w:t>
            </w:r>
            <w:r>
              <w:rPr>
                <w:rFonts w:asciiTheme="minorEastAsia" w:hAnsiTheme="minorEastAsia" w:cstheme="minorEastAsia" w:hint="eastAsia"/>
                <w:kern w:val="0"/>
                <w:szCs w:val="21"/>
                <w:lang w:bidi="ar"/>
              </w:rPr>
              <w:t>3.</w:t>
            </w:r>
            <w:r>
              <w:rPr>
                <w:rFonts w:asciiTheme="minorEastAsia" w:hAnsiTheme="minorEastAsia" w:cstheme="minorEastAsia" w:hint="eastAsia"/>
                <w:kern w:val="0"/>
                <w:szCs w:val="21"/>
                <w:lang w:bidi="ar"/>
              </w:rPr>
              <w:t>及时处理投诉举报。</w:t>
            </w:r>
          </w:p>
        </w:tc>
      </w:tr>
      <w:tr w:rsidR="00627AB6">
        <w:tc>
          <w:tcPr>
            <w:tcW w:w="787" w:type="dxa"/>
            <w:vAlign w:val="center"/>
          </w:tcPr>
          <w:p w:rsidR="00627AB6" w:rsidRDefault="00123786">
            <w:pPr>
              <w:jc w:val="center"/>
              <w:rPr>
                <w:rFonts w:asciiTheme="minorEastAsia" w:hAnsiTheme="minorEastAsia" w:cstheme="minorEastAsia"/>
                <w:szCs w:val="21"/>
              </w:rPr>
            </w:pPr>
            <w:r>
              <w:rPr>
                <w:rFonts w:asciiTheme="minorEastAsia" w:hAnsiTheme="minorEastAsia" w:cstheme="minorEastAsia" w:hint="eastAsia"/>
                <w:szCs w:val="21"/>
              </w:rPr>
              <w:t>4</w:t>
            </w:r>
          </w:p>
        </w:tc>
        <w:tc>
          <w:tcPr>
            <w:tcW w:w="2613" w:type="dxa"/>
            <w:vAlign w:val="center"/>
          </w:tcPr>
          <w:p w:rsidR="00627AB6" w:rsidRDefault="00123786">
            <w:pPr>
              <w:widowControl/>
              <w:jc w:val="left"/>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lang w:bidi="ar"/>
              </w:rPr>
              <w:t>民用爆炸物品安全生产许可</w:t>
            </w:r>
          </w:p>
        </w:tc>
        <w:tc>
          <w:tcPr>
            <w:tcW w:w="2022" w:type="dxa"/>
            <w:vAlign w:val="center"/>
          </w:tcPr>
          <w:p w:rsidR="00627AB6" w:rsidRDefault="00123786">
            <w:pPr>
              <w:widowControl/>
              <w:jc w:val="left"/>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lang w:bidi="ar"/>
              </w:rPr>
              <w:t>省工业和信息化厅</w:t>
            </w:r>
          </w:p>
        </w:tc>
        <w:tc>
          <w:tcPr>
            <w:tcW w:w="1275" w:type="dxa"/>
            <w:vAlign w:val="center"/>
          </w:tcPr>
          <w:p w:rsidR="00627AB6" w:rsidRDefault="00123786">
            <w:pPr>
              <w:widowControl/>
              <w:jc w:val="center"/>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lang w:bidi="ar"/>
              </w:rPr>
              <w:t>优化审批服务</w:t>
            </w:r>
          </w:p>
        </w:tc>
        <w:tc>
          <w:tcPr>
            <w:tcW w:w="3450" w:type="dxa"/>
            <w:vAlign w:val="center"/>
          </w:tcPr>
          <w:p w:rsidR="00627AB6" w:rsidRDefault="00123786">
            <w:pPr>
              <w:widowControl/>
              <w:jc w:val="left"/>
              <w:textAlignment w:val="center"/>
              <w:rPr>
                <w:rFonts w:asciiTheme="minorEastAsia" w:hAnsiTheme="minorEastAsia" w:cstheme="minorEastAsia"/>
                <w:szCs w:val="21"/>
              </w:rPr>
            </w:pPr>
            <w:r>
              <w:rPr>
                <w:rStyle w:val="font11"/>
                <w:rFonts w:asciiTheme="minorEastAsia" w:eastAsiaTheme="minorEastAsia" w:hAnsiTheme="minorEastAsia" w:cstheme="minorEastAsia" w:hint="eastAsia"/>
                <w:sz w:val="21"/>
                <w:szCs w:val="21"/>
                <w:lang w:bidi="ar"/>
              </w:rPr>
              <w:t>将审批时限由</w:t>
            </w:r>
            <w:r>
              <w:rPr>
                <w:rStyle w:val="font01"/>
                <w:rFonts w:asciiTheme="minorEastAsia" w:hAnsiTheme="minorEastAsia" w:cstheme="minorEastAsia" w:hint="eastAsia"/>
                <w:sz w:val="21"/>
                <w:szCs w:val="21"/>
                <w:lang w:bidi="ar"/>
              </w:rPr>
              <w:t>45</w:t>
            </w:r>
            <w:r>
              <w:rPr>
                <w:rStyle w:val="font11"/>
                <w:rFonts w:asciiTheme="minorEastAsia" w:eastAsiaTheme="minorEastAsia" w:hAnsiTheme="minorEastAsia" w:cstheme="minorEastAsia" w:hint="eastAsia"/>
                <w:sz w:val="21"/>
                <w:szCs w:val="21"/>
                <w:lang w:bidi="ar"/>
              </w:rPr>
              <w:t>个工作日压减至</w:t>
            </w:r>
            <w:r>
              <w:rPr>
                <w:rStyle w:val="font01"/>
                <w:rFonts w:asciiTheme="minorEastAsia" w:hAnsiTheme="minorEastAsia" w:cstheme="minorEastAsia" w:hint="eastAsia"/>
                <w:sz w:val="21"/>
                <w:szCs w:val="21"/>
                <w:lang w:bidi="ar"/>
              </w:rPr>
              <w:t>30</w:t>
            </w:r>
            <w:r>
              <w:rPr>
                <w:rStyle w:val="font11"/>
                <w:rFonts w:asciiTheme="minorEastAsia" w:eastAsiaTheme="minorEastAsia" w:hAnsiTheme="minorEastAsia" w:cstheme="minorEastAsia" w:hint="eastAsia"/>
                <w:sz w:val="21"/>
                <w:szCs w:val="21"/>
                <w:lang w:bidi="ar"/>
              </w:rPr>
              <w:t>个工作日。</w:t>
            </w:r>
          </w:p>
        </w:tc>
        <w:tc>
          <w:tcPr>
            <w:tcW w:w="3918" w:type="dxa"/>
            <w:vAlign w:val="center"/>
          </w:tcPr>
          <w:p w:rsidR="00627AB6" w:rsidRDefault="00123786">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1.</w:t>
            </w:r>
            <w:r>
              <w:rPr>
                <w:rFonts w:asciiTheme="minorEastAsia" w:hAnsiTheme="minorEastAsia" w:cstheme="minorEastAsia" w:hint="eastAsia"/>
                <w:kern w:val="0"/>
                <w:szCs w:val="21"/>
                <w:lang w:bidi="ar"/>
              </w:rPr>
              <w:t>开展“双随机、一公开”监管和民用爆炸物品行业安全生产专项督查，发现违法违规行为的要依法依规查处并公开结果。</w:t>
            </w:r>
            <w:r>
              <w:rPr>
                <w:rFonts w:asciiTheme="minorEastAsia" w:hAnsiTheme="minorEastAsia" w:cstheme="minorEastAsia" w:hint="eastAsia"/>
                <w:kern w:val="0"/>
                <w:szCs w:val="21"/>
                <w:lang w:bidi="ar"/>
              </w:rPr>
              <w:t>2.</w:t>
            </w:r>
            <w:r>
              <w:rPr>
                <w:rFonts w:asciiTheme="minorEastAsia" w:hAnsiTheme="minorEastAsia" w:cstheme="minorEastAsia" w:hint="eastAsia"/>
                <w:kern w:val="0"/>
                <w:szCs w:val="21"/>
                <w:lang w:bidi="ar"/>
              </w:rPr>
              <w:t>及时处理投诉举报。</w:t>
            </w:r>
          </w:p>
        </w:tc>
      </w:tr>
      <w:tr w:rsidR="00627AB6">
        <w:tc>
          <w:tcPr>
            <w:tcW w:w="787" w:type="dxa"/>
            <w:vAlign w:val="center"/>
          </w:tcPr>
          <w:p w:rsidR="00627AB6" w:rsidRDefault="00123786">
            <w:pPr>
              <w:jc w:val="center"/>
              <w:rPr>
                <w:rFonts w:asciiTheme="minorEastAsia" w:hAnsiTheme="minorEastAsia" w:cstheme="minorEastAsia"/>
                <w:szCs w:val="21"/>
              </w:rPr>
            </w:pPr>
            <w:r>
              <w:rPr>
                <w:rFonts w:asciiTheme="minorEastAsia" w:hAnsiTheme="minorEastAsia" w:cstheme="minorEastAsia" w:hint="eastAsia"/>
                <w:szCs w:val="21"/>
              </w:rPr>
              <w:t>5</w:t>
            </w:r>
          </w:p>
        </w:tc>
        <w:tc>
          <w:tcPr>
            <w:tcW w:w="2613" w:type="dxa"/>
            <w:vAlign w:val="center"/>
          </w:tcPr>
          <w:p w:rsidR="00627AB6" w:rsidRDefault="00123786">
            <w:pPr>
              <w:widowControl/>
              <w:jc w:val="left"/>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lang w:bidi="ar"/>
              </w:rPr>
              <w:t>民用爆炸物品销售许可</w:t>
            </w:r>
          </w:p>
        </w:tc>
        <w:tc>
          <w:tcPr>
            <w:tcW w:w="2022" w:type="dxa"/>
            <w:vAlign w:val="center"/>
          </w:tcPr>
          <w:p w:rsidR="00627AB6" w:rsidRDefault="00123786">
            <w:pPr>
              <w:widowControl/>
              <w:jc w:val="left"/>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lang w:bidi="ar"/>
              </w:rPr>
              <w:t>省工业和信息化厅</w:t>
            </w:r>
          </w:p>
        </w:tc>
        <w:tc>
          <w:tcPr>
            <w:tcW w:w="1275" w:type="dxa"/>
            <w:vAlign w:val="center"/>
          </w:tcPr>
          <w:p w:rsidR="00627AB6" w:rsidRDefault="00123786">
            <w:pPr>
              <w:widowControl/>
              <w:jc w:val="center"/>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lang w:bidi="ar"/>
              </w:rPr>
              <w:t>优化审批服务</w:t>
            </w:r>
          </w:p>
        </w:tc>
        <w:tc>
          <w:tcPr>
            <w:tcW w:w="3450" w:type="dxa"/>
            <w:vAlign w:val="center"/>
          </w:tcPr>
          <w:p w:rsidR="00627AB6" w:rsidRDefault="00123786">
            <w:pPr>
              <w:widowControl/>
              <w:jc w:val="left"/>
              <w:textAlignment w:val="center"/>
              <w:rPr>
                <w:rFonts w:asciiTheme="minorEastAsia" w:hAnsiTheme="minorEastAsia" w:cstheme="minorEastAsia"/>
                <w:szCs w:val="21"/>
              </w:rPr>
            </w:pPr>
            <w:r>
              <w:rPr>
                <w:rStyle w:val="font01"/>
                <w:rFonts w:asciiTheme="minorEastAsia" w:hAnsiTheme="minorEastAsia" w:cstheme="minorEastAsia" w:hint="eastAsia"/>
                <w:sz w:val="21"/>
                <w:szCs w:val="21"/>
                <w:lang w:bidi="ar"/>
              </w:rPr>
              <w:t>1.</w:t>
            </w:r>
            <w:r>
              <w:rPr>
                <w:rStyle w:val="font11"/>
                <w:rFonts w:asciiTheme="minorEastAsia" w:eastAsiaTheme="minorEastAsia" w:hAnsiTheme="minorEastAsia" w:cstheme="minorEastAsia" w:hint="eastAsia"/>
                <w:sz w:val="21"/>
                <w:szCs w:val="21"/>
                <w:lang w:bidi="ar"/>
              </w:rPr>
              <w:t>取消申请许可时</w:t>
            </w:r>
            <w:r>
              <w:rPr>
                <w:rStyle w:val="font01"/>
                <w:rFonts w:asciiTheme="minorEastAsia" w:hAnsiTheme="minorEastAsia" w:cstheme="minorEastAsia" w:hint="eastAsia"/>
                <w:sz w:val="21"/>
                <w:szCs w:val="21"/>
                <w:lang w:bidi="ar"/>
              </w:rPr>
              <w:t>“</w:t>
            </w:r>
            <w:r>
              <w:rPr>
                <w:rStyle w:val="font11"/>
                <w:rFonts w:asciiTheme="minorEastAsia" w:eastAsiaTheme="minorEastAsia" w:hAnsiTheme="minorEastAsia" w:cstheme="minorEastAsia" w:hint="eastAsia"/>
                <w:sz w:val="21"/>
                <w:szCs w:val="21"/>
                <w:lang w:bidi="ar"/>
              </w:rPr>
              <w:t>从事配送业务的必须具备押运员、驾驶员以及符合特定的爆炸物品专用运输车辆</w:t>
            </w:r>
            <w:r>
              <w:rPr>
                <w:rStyle w:val="font01"/>
                <w:rFonts w:asciiTheme="minorEastAsia" w:hAnsiTheme="minorEastAsia" w:cstheme="minorEastAsia" w:hint="eastAsia"/>
                <w:sz w:val="21"/>
                <w:szCs w:val="21"/>
                <w:lang w:bidi="ar"/>
              </w:rPr>
              <w:t>”</w:t>
            </w:r>
            <w:r>
              <w:rPr>
                <w:rStyle w:val="font11"/>
                <w:rFonts w:asciiTheme="minorEastAsia" w:eastAsiaTheme="minorEastAsia" w:hAnsiTheme="minorEastAsia" w:cstheme="minorEastAsia" w:hint="eastAsia"/>
                <w:sz w:val="21"/>
                <w:szCs w:val="21"/>
                <w:lang w:bidi="ar"/>
              </w:rPr>
              <w:t>的要求；</w:t>
            </w:r>
            <w:r>
              <w:rPr>
                <w:rStyle w:val="font01"/>
                <w:rFonts w:asciiTheme="minorEastAsia" w:hAnsiTheme="minorEastAsia" w:cstheme="minorEastAsia" w:hint="eastAsia"/>
                <w:sz w:val="21"/>
                <w:szCs w:val="21"/>
                <w:lang w:bidi="ar"/>
              </w:rPr>
              <w:br/>
              <w:t>2.</w:t>
            </w:r>
            <w:r>
              <w:rPr>
                <w:rStyle w:val="font11"/>
                <w:rFonts w:asciiTheme="minorEastAsia" w:eastAsiaTheme="minorEastAsia" w:hAnsiTheme="minorEastAsia" w:cstheme="minorEastAsia" w:hint="eastAsia"/>
                <w:sz w:val="21"/>
                <w:szCs w:val="21"/>
                <w:lang w:bidi="ar"/>
              </w:rPr>
              <w:t>将民用爆炸物品销售许可证年检制度改为年度报告制度，企业每年自行向省级民用爆炸物品行业主管部门报告销售许可证有效期、安全评价情况、丢失被盗事件、违法违规情况、年度销售品种及销售数量等信息。</w:t>
            </w:r>
          </w:p>
        </w:tc>
        <w:tc>
          <w:tcPr>
            <w:tcW w:w="3918" w:type="dxa"/>
            <w:vAlign w:val="center"/>
          </w:tcPr>
          <w:p w:rsidR="00627AB6" w:rsidRDefault="00123786">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1.</w:t>
            </w:r>
            <w:r>
              <w:rPr>
                <w:rFonts w:asciiTheme="minorEastAsia" w:hAnsiTheme="minorEastAsia" w:cstheme="minorEastAsia" w:hint="eastAsia"/>
                <w:kern w:val="0"/>
                <w:szCs w:val="21"/>
                <w:lang w:bidi="ar"/>
              </w:rPr>
              <w:t>开展“双随机、一公开”监管，发现违法违规销售民用爆炸物品（包括硝酸铵）行为的要依法查处并公开结果。</w:t>
            </w:r>
            <w:r>
              <w:rPr>
                <w:rFonts w:asciiTheme="minorEastAsia" w:hAnsiTheme="minorEastAsia" w:cstheme="minorEastAsia" w:hint="eastAsia"/>
                <w:kern w:val="0"/>
                <w:szCs w:val="21"/>
                <w:lang w:bidi="ar"/>
              </w:rPr>
              <w:t>2.</w:t>
            </w:r>
            <w:r>
              <w:rPr>
                <w:rFonts w:asciiTheme="minorEastAsia" w:hAnsiTheme="minorEastAsia" w:cstheme="minorEastAsia" w:hint="eastAsia"/>
                <w:kern w:val="0"/>
                <w:szCs w:val="21"/>
                <w:lang w:bidi="ar"/>
              </w:rPr>
              <w:t>及时处理投诉举报。</w:t>
            </w:r>
          </w:p>
        </w:tc>
      </w:tr>
      <w:tr w:rsidR="00627AB6">
        <w:tc>
          <w:tcPr>
            <w:tcW w:w="787" w:type="dxa"/>
            <w:vAlign w:val="center"/>
          </w:tcPr>
          <w:p w:rsidR="00627AB6" w:rsidRDefault="00123786">
            <w:pPr>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6</w:t>
            </w:r>
          </w:p>
        </w:tc>
        <w:tc>
          <w:tcPr>
            <w:tcW w:w="2613" w:type="dxa"/>
            <w:vAlign w:val="center"/>
          </w:tcPr>
          <w:p w:rsidR="00627AB6" w:rsidRDefault="00123786">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第二类监控化学品经营许可</w:t>
            </w:r>
          </w:p>
        </w:tc>
        <w:tc>
          <w:tcPr>
            <w:tcW w:w="2022" w:type="dxa"/>
            <w:vAlign w:val="center"/>
          </w:tcPr>
          <w:p w:rsidR="00627AB6" w:rsidRDefault="00123786">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省工业和信息化厅</w:t>
            </w:r>
            <w:r>
              <w:rPr>
                <w:rFonts w:asciiTheme="minorEastAsia" w:hAnsiTheme="minorEastAsia" w:cstheme="minorEastAsia" w:hint="eastAsia"/>
                <w:color w:val="000000"/>
                <w:kern w:val="0"/>
                <w:szCs w:val="21"/>
                <w:lang w:bidi="ar"/>
              </w:rPr>
              <w:t>，省工信系统权责清单中事项名称为“经营第二类监控化学品审批”</w:t>
            </w:r>
          </w:p>
        </w:tc>
        <w:tc>
          <w:tcPr>
            <w:tcW w:w="1275" w:type="dxa"/>
            <w:vAlign w:val="center"/>
          </w:tcPr>
          <w:p w:rsidR="00627AB6" w:rsidRDefault="00123786">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优化审批服务</w:t>
            </w:r>
          </w:p>
        </w:tc>
        <w:tc>
          <w:tcPr>
            <w:tcW w:w="3450" w:type="dxa"/>
            <w:vAlign w:val="center"/>
          </w:tcPr>
          <w:p w:rsidR="00627AB6" w:rsidRDefault="00123786">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将审批时限由</w:t>
            </w:r>
            <w:r>
              <w:rPr>
                <w:rFonts w:asciiTheme="minorEastAsia" w:hAnsiTheme="minorEastAsia" w:cstheme="minorEastAsia"/>
                <w:color w:val="000000"/>
                <w:kern w:val="0"/>
                <w:szCs w:val="21"/>
                <w:lang w:bidi="ar"/>
              </w:rPr>
              <w:t>20</w:t>
            </w:r>
            <w:r>
              <w:rPr>
                <w:rFonts w:asciiTheme="minorEastAsia" w:hAnsiTheme="minorEastAsia" w:cstheme="minorEastAsia"/>
                <w:color w:val="000000"/>
                <w:kern w:val="0"/>
                <w:szCs w:val="21"/>
                <w:lang w:bidi="ar"/>
              </w:rPr>
              <w:t>个工作日压减至</w:t>
            </w:r>
            <w:r>
              <w:rPr>
                <w:rFonts w:asciiTheme="minorEastAsia" w:hAnsiTheme="minorEastAsia" w:cstheme="minorEastAsia"/>
                <w:color w:val="000000"/>
                <w:kern w:val="0"/>
                <w:szCs w:val="21"/>
                <w:lang w:bidi="ar"/>
              </w:rPr>
              <w:t>18</w:t>
            </w:r>
            <w:r>
              <w:rPr>
                <w:rFonts w:asciiTheme="minorEastAsia" w:hAnsiTheme="minorEastAsia" w:cstheme="minorEastAsia"/>
                <w:color w:val="000000"/>
                <w:kern w:val="0"/>
                <w:szCs w:val="21"/>
                <w:lang w:bidi="ar"/>
              </w:rPr>
              <w:t>个工作日。</w:t>
            </w:r>
          </w:p>
        </w:tc>
        <w:tc>
          <w:tcPr>
            <w:tcW w:w="3918" w:type="dxa"/>
            <w:vAlign w:val="center"/>
          </w:tcPr>
          <w:p w:rsidR="00627AB6" w:rsidRDefault="00123786">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1.</w:t>
            </w:r>
            <w:r>
              <w:rPr>
                <w:rFonts w:asciiTheme="minorEastAsia" w:hAnsiTheme="minorEastAsia" w:cstheme="minorEastAsia" w:hint="eastAsia"/>
                <w:kern w:val="0"/>
                <w:szCs w:val="21"/>
                <w:lang w:bidi="ar"/>
              </w:rPr>
              <w:t>开展“双随机、一公开”监管，依法查处违法违规经营活动并公布结果。</w:t>
            </w:r>
            <w:r>
              <w:rPr>
                <w:rFonts w:asciiTheme="minorEastAsia" w:hAnsiTheme="minorEastAsia" w:cstheme="minorEastAsia" w:hint="eastAsia"/>
                <w:kern w:val="0"/>
                <w:szCs w:val="21"/>
                <w:lang w:bidi="ar"/>
              </w:rPr>
              <w:t>2.</w:t>
            </w:r>
            <w:r>
              <w:rPr>
                <w:rFonts w:asciiTheme="minorEastAsia" w:hAnsiTheme="minorEastAsia" w:cstheme="minorEastAsia" w:hint="eastAsia"/>
                <w:kern w:val="0"/>
                <w:szCs w:val="21"/>
                <w:lang w:bidi="ar"/>
              </w:rPr>
              <w:t>加强信用监管，对失信主体开展联合惩戒。</w:t>
            </w:r>
          </w:p>
        </w:tc>
      </w:tr>
      <w:tr w:rsidR="00627AB6">
        <w:tc>
          <w:tcPr>
            <w:tcW w:w="787" w:type="dxa"/>
            <w:vAlign w:val="center"/>
          </w:tcPr>
          <w:p w:rsidR="00627AB6" w:rsidRDefault="00123786">
            <w:pPr>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7</w:t>
            </w:r>
          </w:p>
        </w:tc>
        <w:tc>
          <w:tcPr>
            <w:tcW w:w="2613" w:type="dxa"/>
            <w:vAlign w:val="center"/>
          </w:tcPr>
          <w:p w:rsidR="00627AB6" w:rsidRDefault="00123786">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第二、三类监控化学品和第四类监控化学品中含磷、硫、氟的特定有机化学品生产特别许可（初审）</w:t>
            </w:r>
          </w:p>
        </w:tc>
        <w:tc>
          <w:tcPr>
            <w:tcW w:w="2022" w:type="dxa"/>
            <w:vAlign w:val="center"/>
          </w:tcPr>
          <w:p w:rsidR="00627AB6" w:rsidRDefault="00123786">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省工业和信息化厅</w:t>
            </w:r>
          </w:p>
        </w:tc>
        <w:tc>
          <w:tcPr>
            <w:tcW w:w="1275" w:type="dxa"/>
            <w:vAlign w:val="center"/>
          </w:tcPr>
          <w:p w:rsidR="00627AB6" w:rsidRDefault="00123786">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优化审批服务</w:t>
            </w:r>
          </w:p>
        </w:tc>
        <w:tc>
          <w:tcPr>
            <w:tcW w:w="3450" w:type="dxa"/>
            <w:vAlign w:val="center"/>
          </w:tcPr>
          <w:p w:rsidR="00627AB6" w:rsidRDefault="00123786">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不再要求企业提供车间平面布置图。</w:t>
            </w:r>
          </w:p>
        </w:tc>
        <w:tc>
          <w:tcPr>
            <w:tcW w:w="3918" w:type="dxa"/>
            <w:vAlign w:val="center"/>
          </w:tcPr>
          <w:p w:rsidR="00627AB6" w:rsidRDefault="00123786">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1.</w:t>
            </w:r>
            <w:r>
              <w:rPr>
                <w:rFonts w:asciiTheme="minorEastAsia" w:hAnsiTheme="minorEastAsia" w:cstheme="minorEastAsia" w:hint="eastAsia"/>
                <w:kern w:val="0"/>
                <w:szCs w:val="21"/>
                <w:lang w:bidi="ar"/>
              </w:rPr>
              <w:t>开展“双随机、一公开”监管，依法查处违法违规生产活动并公布结果。</w:t>
            </w:r>
            <w:r>
              <w:rPr>
                <w:rFonts w:asciiTheme="minorEastAsia" w:hAnsiTheme="minorEastAsia" w:cstheme="minorEastAsia" w:hint="eastAsia"/>
                <w:kern w:val="0"/>
                <w:szCs w:val="21"/>
                <w:lang w:bidi="ar"/>
              </w:rPr>
              <w:t>2.</w:t>
            </w:r>
            <w:r>
              <w:rPr>
                <w:rFonts w:asciiTheme="minorEastAsia" w:hAnsiTheme="minorEastAsia" w:cstheme="minorEastAsia" w:hint="eastAsia"/>
                <w:kern w:val="0"/>
                <w:szCs w:val="21"/>
                <w:lang w:bidi="ar"/>
              </w:rPr>
              <w:t>对失信主体开展联合惩戒。</w:t>
            </w:r>
          </w:p>
        </w:tc>
      </w:tr>
      <w:tr w:rsidR="00627AB6">
        <w:tc>
          <w:tcPr>
            <w:tcW w:w="787" w:type="dxa"/>
            <w:vAlign w:val="center"/>
          </w:tcPr>
          <w:p w:rsidR="00627AB6" w:rsidRDefault="00123786">
            <w:pPr>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8</w:t>
            </w:r>
          </w:p>
        </w:tc>
        <w:tc>
          <w:tcPr>
            <w:tcW w:w="2613" w:type="dxa"/>
            <w:vAlign w:val="center"/>
          </w:tcPr>
          <w:p w:rsidR="00627AB6" w:rsidRDefault="00123786">
            <w:pPr>
              <w:widowControl/>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第二类武器装备科研生产许可（初审）</w:t>
            </w:r>
          </w:p>
        </w:tc>
        <w:tc>
          <w:tcPr>
            <w:tcW w:w="2022" w:type="dxa"/>
            <w:vAlign w:val="center"/>
          </w:tcPr>
          <w:p w:rsidR="00627AB6" w:rsidRDefault="00123786">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省工业和信息化厅</w:t>
            </w:r>
            <w:r>
              <w:rPr>
                <w:rFonts w:asciiTheme="minorEastAsia" w:hAnsiTheme="minorEastAsia" w:cstheme="minorEastAsia" w:hint="eastAsia"/>
                <w:color w:val="000000"/>
                <w:kern w:val="0"/>
                <w:szCs w:val="21"/>
                <w:lang w:bidi="ar"/>
              </w:rPr>
              <w:t>，省工信系统权责清单中事项名称为“武器装备科研生产二类许可申请审查”</w:t>
            </w:r>
          </w:p>
        </w:tc>
        <w:tc>
          <w:tcPr>
            <w:tcW w:w="1275" w:type="dxa"/>
            <w:vAlign w:val="center"/>
          </w:tcPr>
          <w:p w:rsidR="00627AB6" w:rsidRDefault="00123786">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优化审批服务</w:t>
            </w:r>
          </w:p>
        </w:tc>
        <w:tc>
          <w:tcPr>
            <w:tcW w:w="3450" w:type="dxa"/>
          </w:tcPr>
          <w:p w:rsidR="00627AB6" w:rsidRDefault="00123786">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w:t>
            </w:r>
            <w:r>
              <w:rPr>
                <w:rFonts w:asciiTheme="minorEastAsia" w:hAnsiTheme="minorEastAsia" w:cstheme="minorEastAsia" w:hint="eastAsia"/>
                <w:color w:val="000000"/>
                <w:kern w:val="0"/>
                <w:szCs w:val="21"/>
                <w:lang w:bidi="ar"/>
              </w:rPr>
              <w:t>网上公布受理条件、审批程序、办理标准，提供电话查询办理进度渠道。</w:t>
            </w:r>
            <w:r>
              <w:rPr>
                <w:rFonts w:asciiTheme="minorEastAsia" w:hAnsiTheme="minorEastAsia" w:cstheme="minorEastAsia" w:hint="eastAsia"/>
                <w:color w:val="000000"/>
                <w:kern w:val="0"/>
                <w:szCs w:val="21"/>
                <w:lang w:bidi="ar"/>
              </w:rPr>
              <w:t>2.</w:t>
            </w:r>
            <w:r>
              <w:rPr>
                <w:rFonts w:asciiTheme="minorEastAsia" w:hAnsiTheme="minorEastAsia" w:cstheme="minorEastAsia" w:hint="eastAsia"/>
                <w:color w:val="000000"/>
                <w:kern w:val="0"/>
                <w:szCs w:val="21"/>
                <w:lang w:bidi="ar"/>
              </w:rPr>
              <w:t>落实国家对许可目录项目的压减措施，对不再审批的项目实行备案管理。</w:t>
            </w:r>
          </w:p>
        </w:tc>
        <w:tc>
          <w:tcPr>
            <w:tcW w:w="3918" w:type="dxa"/>
          </w:tcPr>
          <w:p w:rsidR="00627AB6" w:rsidRDefault="00123786">
            <w:pPr>
              <w:widowControl/>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监管本行政区域内持有“武器装备科研生产许可证”单位的生产活动。监管措施包括：</w:t>
            </w:r>
            <w:r>
              <w:rPr>
                <w:rFonts w:asciiTheme="minorEastAsia" w:hAnsiTheme="minorEastAsia" w:cstheme="minorEastAsia" w:hint="eastAsia"/>
                <w:kern w:val="0"/>
                <w:szCs w:val="21"/>
                <w:lang w:bidi="ar"/>
              </w:rPr>
              <w:t>1.</w:t>
            </w:r>
            <w:r>
              <w:rPr>
                <w:rFonts w:asciiTheme="minorEastAsia" w:hAnsiTheme="minorEastAsia" w:cstheme="minorEastAsia" w:hint="eastAsia"/>
                <w:kern w:val="0"/>
                <w:szCs w:val="21"/>
                <w:lang w:bidi="ar"/>
              </w:rPr>
              <w:t>协助国家国防科工局开展“双随机、一公开”监管、跨部门联合监管等，发现问题及时依法处理。</w:t>
            </w:r>
            <w:r>
              <w:rPr>
                <w:rFonts w:asciiTheme="minorEastAsia" w:hAnsiTheme="minorEastAsia" w:cstheme="minorEastAsia" w:hint="eastAsia"/>
                <w:kern w:val="0"/>
                <w:szCs w:val="21"/>
                <w:lang w:bidi="ar"/>
              </w:rPr>
              <w:t>2</w:t>
            </w:r>
            <w:r>
              <w:rPr>
                <w:rFonts w:asciiTheme="minorEastAsia" w:hAnsiTheme="minorEastAsia" w:cstheme="minorEastAsia" w:hint="eastAsia"/>
                <w:kern w:val="0"/>
                <w:szCs w:val="21"/>
                <w:lang w:bidi="ar"/>
              </w:rPr>
              <w:t>、对本行政区域内从事生产活动的单位加强监管。</w:t>
            </w:r>
            <w:r>
              <w:rPr>
                <w:rFonts w:asciiTheme="minorEastAsia" w:hAnsiTheme="minorEastAsia" w:cstheme="minorEastAsia" w:hint="eastAsia"/>
                <w:kern w:val="0"/>
                <w:szCs w:val="21"/>
                <w:lang w:bidi="ar"/>
              </w:rPr>
              <w:t>3</w:t>
            </w:r>
            <w:r>
              <w:rPr>
                <w:rFonts w:asciiTheme="minorEastAsia" w:hAnsiTheme="minorEastAsia" w:cstheme="minorEastAsia" w:hint="eastAsia"/>
                <w:kern w:val="0"/>
                <w:szCs w:val="21"/>
                <w:lang w:bidi="ar"/>
              </w:rPr>
              <w:t>、依法及时处理投诉举报。</w:t>
            </w:r>
            <w:r>
              <w:rPr>
                <w:rFonts w:asciiTheme="minorEastAsia" w:hAnsiTheme="minorEastAsia" w:cstheme="minorEastAsia" w:hint="eastAsia"/>
                <w:kern w:val="0"/>
                <w:szCs w:val="21"/>
                <w:lang w:bidi="ar"/>
              </w:rPr>
              <w:t>4.</w:t>
            </w:r>
            <w:r>
              <w:rPr>
                <w:rFonts w:asciiTheme="minorEastAsia" w:hAnsiTheme="minorEastAsia" w:cstheme="minorEastAsia" w:hint="eastAsia"/>
                <w:kern w:val="0"/>
                <w:szCs w:val="21"/>
                <w:lang w:bidi="ar"/>
              </w:rPr>
              <w:t>强化信用约束，对弄需作假、提供假冒伪劣产品等严重失信的单位，上报国家国防科工局将其列入失信黑名单并通报。</w:t>
            </w:r>
          </w:p>
        </w:tc>
      </w:tr>
      <w:tr w:rsidR="00627AB6">
        <w:tc>
          <w:tcPr>
            <w:tcW w:w="787" w:type="dxa"/>
            <w:vAlign w:val="center"/>
          </w:tcPr>
          <w:p w:rsidR="00627AB6" w:rsidRDefault="00123786">
            <w:pPr>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9</w:t>
            </w:r>
          </w:p>
        </w:tc>
        <w:tc>
          <w:tcPr>
            <w:tcW w:w="2613" w:type="dxa"/>
            <w:vAlign w:val="center"/>
          </w:tcPr>
          <w:p w:rsidR="00627AB6" w:rsidRDefault="00123786">
            <w:pPr>
              <w:widowControl/>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三级国防计量技术机构设置审批</w:t>
            </w:r>
          </w:p>
        </w:tc>
        <w:tc>
          <w:tcPr>
            <w:tcW w:w="2022" w:type="dxa"/>
            <w:vAlign w:val="center"/>
          </w:tcPr>
          <w:p w:rsidR="00627AB6" w:rsidRDefault="00123786">
            <w:pPr>
              <w:widowControl/>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省工业和信息化厅</w:t>
            </w:r>
          </w:p>
        </w:tc>
        <w:tc>
          <w:tcPr>
            <w:tcW w:w="1275" w:type="dxa"/>
            <w:vAlign w:val="center"/>
          </w:tcPr>
          <w:p w:rsidR="00627AB6" w:rsidRDefault="00123786">
            <w:pPr>
              <w:widowControl/>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优化审批服务</w:t>
            </w:r>
          </w:p>
        </w:tc>
        <w:tc>
          <w:tcPr>
            <w:tcW w:w="3450" w:type="dxa"/>
            <w:vAlign w:val="center"/>
          </w:tcPr>
          <w:p w:rsidR="00627AB6" w:rsidRDefault="00123786">
            <w:pPr>
              <w:widowControl/>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w:t>
            </w:r>
            <w:r>
              <w:rPr>
                <w:rFonts w:asciiTheme="minorEastAsia" w:hAnsiTheme="minorEastAsia" w:cstheme="minorEastAsia" w:hint="eastAsia"/>
                <w:color w:val="000000"/>
                <w:kern w:val="0"/>
                <w:szCs w:val="21"/>
                <w:lang w:bidi="ar"/>
              </w:rPr>
              <w:t>网上公布受理条件、审批程序、办理标准，提供电话查询办理进度渠道。</w:t>
            </w:r>
            <w:r>
              <w:rPr>
                <w:rFonts w:asciiTheme="minorEastAsia" w:hAnsiTheme="minorEastAsia" w:cstheme="minorEastAsia" w:hint="eastAsia"/>
                <w:color w:val="000000"/>
                <w:kern w:val="0"/>
                <w:szCs w:val="21"/>
                <w:lang w:bidi="ar"/>
              </w:rPr>
              <w:t>2</w:t>
            </w:r>
            <w:r>
              <w:rPr>
                <w:rFonts w:asciiTheme="minorEastAsia" w:hAnsiTheme="minorEastAsia" w:cstheme="minorEastAsia" w:hint="eastAsia"/>
                <w:color w:val="000000"/>
                <w:kern w:val="0"/>
                <w:szCs w:val="21"/>
                <w:lang w:bidi="ar"/>
              </w:rPr>
              <w:t>、根据国家要求取消信息报送、量值比对、学术交流、计量仲裁等</w:t>
            </w:r>
            <w:r>
              <w:rPr>
                <w:rFonts w:asciiTheme="minorEastAsia" w:hAnsiTheme="minorEastAsia" w:cstheme="minorEastAsia" w:hint="eastAsia"/>
                <w:color w:val="000000"/>
                <w:kern w:val="0"/>
                <w:szCs w:val="21"/>
                <w:lang w:bidi="ar"/>
              </w:rPr>
              <w:t>18</w:t>
            </w:r>
            <w:r>
              <w:rPr>
                <w:rFonts w:asciiTheme="minorEastAsia" w:hAnsiTheme="minorEastAsia" w:cstheme="minorEastAsia" w:hint="eastAsia"/>
                <w:color w:val="000000"/>
                <w:kern w:val="0"/>
                <w:szCs w:val="21"/>
                <w:lang w:bidi="ar"/>
              </w:rPr>
              <w:t>项审查标准。</w:t>
            </w:r>
            <w:r>
              <w:rPr>
                <w:rFonts w:asciiTheme="minorEastAsia" w:hAnsiTheme="minorEastAsia" w:cstheme="minorEastAsia" w:hint="eastAsia"/>
                <w:color w:val="000000"/>
                <w:kern w:val="0"/>
                <w:szCs w:val="21"/>
                <w:lang w:bidi="ar"/>
              </w:rPr>
              <w:t>3.</w:t>
            </w:r>
            <w:r>
              <w:rPr>
                <w:rFonts w:asciiTheme="minorEastAsia" w:hAnsiTheme="minorEastAsia" w:cstheme="minorEastAsia" w:hint="eastAsia"/>
                <w:color w:val="000000"/>
                <w:kern w:val="0"/>
                <w:szCs w:val="21"/>
                <w:lang w:bidi="ar"/>
              </w:rPr>
              <w:t>将审批时限由</w:t>
            </w:r>
            <w:r>
              <w:rPr>
                <w:rFonts w:asciiTheme="minorEastAsia" w:hAnsiTheme="minorEastAsia" w:cstheme="minorEastAsia" w:hint="eastAsia"/>
                <w:color w:val="000000"/>
                <w:kern w:val="0"/>
                <w:szCs w:val="21"/>
                <w:lang w:bidi="ar"/>
              </w:rPr>
              <w:t>35</w:t>
            </w:r>
            <w:r>
              <w:rPr>
                <w:rFonts w:asciiTheme="minorEastAsia" w:hAnsiTheme="minorEastAsia" w:cstheme="minorEastAsia" w:hint="eastAsia"/>
                <w:color w:val="000000"/>
                <w:kern w:val="0"/>
                <w:szCs w:val="21"/>
                <w:lang w:bidi="ar"/>
              </w:rPr>
              <w:t>个工作日压减至</w:t>
            </w:r>
            <w:r>
              <w:rPr>
                <w:rFonts w:asciiTheme="minorEastAsia" w:hAnsiTheme="minorEastAsia" w:cstheme="minorEastAsia" w:hint="eastAsia"/>
                <w:color w:val="000000"/>
                <w:kern w:val="0"/>
                <w:szCs w:val="21"/>
                <w:lang w:bidi="ar"/>
              </w:rPr>
              <w:t>25</w:t>
            </w:r>
            <w:r>
              <w:rPr>
                <w:rFonts w:asciiTheme="minorEastAsia" w:hAnsiTheme="minorEastAsia" w:cstheme="minorEastAsia" w:hint="eastAsia"/>
                <w:color w:val="000000"/>
                <w:kern w:val="0"/>
                <w:szCs w:val="21"/>
                <w:lang w:bidi="ar"/>
              </w:rPr>
              <w:t>个工作日。</w:t>
            </w:r>
          </w:p>
        </w:tc>
        <w:tc>
          <w:tcPr>
            <w:tcW w:w="3918" w:type="dxa"/>
            <w:vAlign w:val="center"/>
          </w:tcPr>
          <w:p w:rsidR="00627AB6" w:rsidRDefault="00123786">
            <w:pPr>
              <w:widowControl/>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w:t>
            </w:r>
            <w:r>
              <w:rPr>
                <w:rFonts w:asciiTheme="minorEastAsia" w:hAnsiTheme="minorEastAsia" w:cstheme="minorEastAsia" w:hint="eastAsia"/>
                <w:color w:val="000000"/>
                <w:kern w:val="0"/>
                <w:szCs w:val="21"/>
                <w:lang w:bidi="ar"/>
              </w:rPr>
              <w:t>按照国家相关管理规定，进一步规范技术机构履职行为，明确监管措施要求。</w:t>
            </w:r>
            <w:r>
              <w:rPr>
                <w:rFonts w:asciiTheme="minorEastAsia" w:hAnsiTheme="minorEastAsia" w:cstheme="minorEastAsia" w:hint="eastAsia"/>
                <w:color w:val="000000"/>
                <w:kern w:val="0"/>
                <w:szCs w:val="21"/>
                <w:lang w:bidi="ar"/>
              </w:rPr>
              <w:t>2.</w:t>
            </w:r>
            <w:r>
              <w:rPr>
                <w:rFonts w:asciiTheme="minorEastAsia" w:hAnsiTheme="minorEastAsia" w:cstheme="minorEastAsia" w:hint="eastAsia"/>
                <w:color w:val="000000"/>
                <w:kern w:val="0"/>
                <w:szCs w:val="21"/>
                <w:lang w:bidi="ar"/>
              </w:rPr>
              <w:t>开展“双随机、一公开”监管，根据专业能力、履职表现，合理确定抽查比例和检查内容。</w:t>
            </w:r>
            <w:r>
              <w:rPr>
                <w:rFonts w:asciiTheme="minorEastAsia" w:hAnsiTheme="minorEastAsia" w:cstheme="minorEastAsia" w:hint="eastAsia"/>
                <w:color w:val="000000"/>
                <w:kern w:val="0"/>
                <w:szCs w:val="21"/>
                <w:lang w:bidi="ar"/>
              </w:rPr>
              <w:t>3</w:t>
            </w:r>
            <w:r>
              <w:rPr>
                <w:rFonts w:asciiTheme="minorEastAsia" w:hAnsiTheme="minorEastAsia" w:cstheme="minorEastAsia" w:hint="eastAsia"/>
                <w:color w:val="000000"/>
                <w:kern w:val="0"/>
                <w:szCs w:val="21"/>
                <w:lang w:bidi="ar"/>
              </w:rPr>
              <w:t>.</w:t>
            </w:r>
            <w:r>
              <w:rPr>
                <w:rFonts w:asciiTheme="minorEastAsia" w:hAnsiTheme="minorEastAsia" w:cstheme="minorEastAsia" w:hint="eastAsia"/>
                <w:color w:val="000000"/>
                <w:kern w:val="0"/>
                <w:szCs w:val="21"/>
                <w:lang w:bidi="ar"/>
              </w:rPr>
              <w:t>加强对军工计量领域的监测，补充完善短板弱项，确保技术机构能力满足科研生产需要。</w:t>
            </w:r>
            <w:r>
              <w:rPr>
                <w:rFonts w:asciiTheme="minorEastAsia" w:hAnsiTheme="minorEastAsia" w:cstheme="minorEastAsia" w:hint="eastAsia"/>
                <w:color w:val="000000"/>
                <w:kern w:val="0"/>
                <w:szCs w:val="21"/>
                <w:lang w:bidi="ar"/>
              </w:rPr>
              <w:t>4</w:t>
            </w:r>
            <w:r>
              <w:rPr>
                <w:rFonts w:asciiTheme="minorEastAsia" w:hAnsiTheme="minorEastAsia" w:cstheme="minorEastAsia" w:hint="eastAsia"/>
                <w:color w:val="000000"/>
                <w:kern w:val="0"/>
                <w:szCs w:val="21"/>
                <w:lang w:bidi="ar"/>
              </w:rPr>
              <w:t>.</w:t>
            </w:r>
            <w:r>
              <w:rPr>
                <w:rFonts w:asciiTheme="minorEastAsia" w:hAnsiTheme="minorEastAsia" w:cstheme="minorEastAsia" w:hint="eastAsia"/>
                <w:color w:val="000000"/>
                <w:kern w:val="0"/>
                <w:szCs w:val="21"/>
                <w:lang w:bidi="ar"/>
              </w:rPr>
              <w:t>依法及时处理投诉举报。</w:t>
            </w:r>
          </w:p>
        </w:tc>
      </w:tr>
    </w:tbl>
    <w:p w:rsidR="00627AB6" w:rsidRDefault="00627AB6">
      <w:pPr>
        <w:jc w:val="left"/>
        <w:rPr>
          <w:rFonts w:ascii="仿宋" w:eastAsia="仿宋" w:hAnsi="仿宋" w:cs="仿宋"/>
          <w:sz w:val="32"/>
          <w:szCs w:val="32"/>
        </w:rPr>
        <w:sectPr w:rsidR="00627AB6">
          <w:headerReference w:type="default" r:id="rId7"/>
          <w:footerReference w:type="default" r:id="rId8"/>
          <w:pgSz w:w="16838" w:h="11906" w:orient="landscape"/>
          <w:pgMar w:top="1800" w:right="1440" w:bottom="1800" w:left="1440" w:header="851" w:footer="992" w:gutter="0"/>
          <w:cols w:space="425"/>
          <w:docGrid w:type="lines" w:linePitch="312"/>
        </w:sectPr>
      </w:pPr>
    </w:p>
    <w:p w:rsidR="00627AB6" w:rsidRDefault="00627AB6">
      <w:pPr>
        <w:rPr>
          <w:rFonts w:asciiTheme="majorEastAsia" w:eastAsiaTheme="majorEastAsia" w:hAnsiTheme="majorEastAsia" w:cstheme="majorEastAsia"/>
          <w:b/>
          <w:bCs/>
          <w:sz w:val="44"/>
          <w:szCs w:val="44"/>
        </w:rPr>
      </w:pPr>
    </w:p>
    <w:sectPr w:rsidR="00627A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786" w:rsidRDefault="00123786">
      <w:r>
        <w:separator/>
      </w:r>
    </w:p>
  </w:endnote>
  <w:endnote w:type="continuationSeparator" w:id="0">
    <w:p w:rsidR="00123786" w:rsidRDefault="0012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AB6" w:rsidRDefault="0012378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27AB6" w:rsidRDefault="00123786">
                          <w:pPr>
                            <w:pStyle w:val="a3"/>
                          </w:pPr>
                          <w:r>
                            <w:rPr>
                              <w:rFonts w:hint="eastAsia"/>
                            </w:rPr>
                            <w:fldChar w:fldCharType="begin"/>
                          </w:r>
                          <w:r>
                            <w:rPr>
                              <w:rFonts w:hint="eastAsia"/>
                            </w:rPr>
                            <w:instrText xml:space="preserve"> PAGE  \* MERGEFORMAT </w:instrText>
                          </w:r>
                          <w:r>
                            <w:rPr>
                              <w:rFonts w:hint="eastAsia"/>
                            </w:rPr>
                            <w:fldChar w:fldCharType="separate"/>
                          </w:r>
                          <w:r w:rsidR="00AA1DDD">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27AB6" w:rsidRDefault="00123786">
                    <w:pPr>
                      <w:pStyle w:val="a3"/>
                    </w:pPr>
                    <w:r>
                      <w:rPr>
                        <w:rFonts w:hint="eastAsia"/>
                      </w:rPr>
                      <w:fldChar w:fldCharType="begin"/>
                    </w:r>
                    <w:r>
                      <w:rPr>
                        <w:rFonts w:hint="eastAsia"/>
                      </w:rPr>
                      <w:instrText xml:space="preserve"> PAGE  \* MERGEFORMAT </w:instrText>
                    </w:r>
                    <w:r>
                      <w:rPr>
                        <w:rFonts w:hint="eastAsia"/>
                      </w:rPr>
                      <w:fldChar w:fldCharType="separate"/>
                    </w:r>
                    <w:r w:rsidR="00AA1DDD">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786" w:rsidRDefault="00123786">
      <w:r>
        <w:separator/>
      </w:r>
    </w:p>
  </w:footnote>
  <w:footnote w:type="continuationSeparator" w:id="0">
    <w:p w:rsidR="00123786" w:rsidRDefault="00123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AB6" w:rsidRDefault="00627AB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B6"/>
    <w:rsid w:val="00123786"/>
    <w:rsid w:val="00627AB6"/>
    <w:rsid w:val="00AA1DDD"/>
    <w:rsid w:val="02281ED7"/>
    <w:rsid w:val="024C3EC2"/>
    <w:rsid w:val="036967BD"/>
    <w:rsid w:val="04CC213D"/>
    <w:rsid w:val="05704DCA"/>
    <w:rsid w:val="07EF3C67"/>
    <w:rsid w:val="08331546"/>
    <w:rsid w:val="096C7713"/>
    <w:rsid w:val="0D334CD0"/>
    <w:rsid w:val="0D774F7D"/>
    <w:rsid w:val="0FD80B82"/>
    <w:rsid w:val="120D245C"/>
    <w:rsid w:val="121455DD"/>
    <w:rsid w:val="12496105"/>
    <w:rsid w:val="12D26744"/>
    <w:rsid w:val="12EC1880"/>
    <w:rsid w:val="13A935A7"/>
    <w:rsid w:val="145A4856"/>
    <w:rsid w:val="148B6FDE"/>
    <w:rsid w:val="153A2BC3"/>
    <w:rsid w:val="163335D7"/>
    <w:rsid w:val="18726CDE"/>
    <w:rsid w:val="197A79DA"/>
    <w:rsid w:val="1AF42D5C"/>
    <w:rsid w:val="1B391CA1"/>
    <w:rsid w:val="1EF75512"/>
    <w:rsid w:val="1F657CF8"/>
    <w:rsid w:val="1F9647CC"/>
    <w:rsid w:val="209C29C9"/>
    <w:rsid w:val="2194233F"/>
    <w:rsid w:val="23E573BB"/>
    <w:rsid w:val="25A07DF0"/>
    <w:rsid w:val="260E5E27"/>
    <w:rsid w:val="264A4C7B"/>
    <w:rsid w:val="29247445"/>
    <w:rsid w:val="2A574629"/>
    <w:rsid w:val="2B5F6901"/>
    <w:rsid w:val="2BBA2A64"/>
    <w:rsid w:val="2C2C56D6"/>
    <w:rsid w:val="2D484B00"/>
    <w:rsid w:val="2FD935B0"/>
    <w:rsid w:val="30997256"/>
    <w:rsid w:val="30C55B94"/>
    <w:rsid w:val="31613A05"/>
    <w:rsid w:val="31AD25C9"/>
    <w:rsid w:val="32795719"/>
    <w:rsid w:val="34B25C04"/>
    <w:rsid w:val="35D24A74"/>
    <w:rsid w:val="35DA6AAD"/>
    <w:rsid w:val="3670431C"/>
    <w:rsid w:val="37A70115"/>
    <w:rsid w:val="38C04134"/>
    <w:rsid w:val="38EC61C6"/>
    <w:rsid w:val="3AC96180"/>
    <w:rsid w:val="3B432E73"/>
    <w:rsid w:val="3CDD039A"/>
    <w:rsid w:val="407A398A"/>
    <w:rsid w:val="40866856"/>
    <w:rsid w:val="43DB4656"/>
    <w:rsid w:val="44B6392C"/>
    <w:rsid w:val="45046514"/>
    <w:rsid w:val="45AE56EA"/>
    <w:rsid w:val="471E6694"/>
    <w:rsid w:val="47E23F21"/>
    <w:rsid w:val="496472ED"/>
    <w:rsid w:val="496837CF"/>
    <w:rsid w:val="4A6D50B2"/>
    <w:rsid w:val="4A843079"/>
    <w:rsid w:val="4CDF06CF"/>
    <w:rsid w:val="4DD12C15"/>
    <w:rsid w:val="4EAC42F1"/>
    <w:rsid w:val="4F3F322C"/>
    <w:rsid w:val="50611C25"/>
    <w:rsid w:val="51B61365"/>
    <w:rsid w:val="51F14D61"/>
    <w:rsid w:val="52DD359A"/>
    <w:rsid w:val="550864C8"/>
    <w:rsid w:val="55211072"/>
    <w:rsid w:val="55DE21BD"/>
    <w:rsid w:val="560046A4"/>
    <w:rsid w:val="568D716F"/>
    <w:rsid w:val="58301F4F"/>
    <w:rsid w:val="583A3DB1"/>
    <w:rsid w:val="58430563"/>
    <w:rsid w:val="58D54309"/>
    <w:rsid w:val="5A124C87"/>
    <w:rsid w:val="5A2708A6"/>
    <w:rsid w:val="5AFC43A4"/>
    <w:rsid w:val="5B214C00"/>
    <w:rsid w:val="5CA90E3F"/>
    <w:rsid w:val="5CE41748"/>
    <w:rsid w:val="5CED6639"/>
    <w:rsid w:val="5D331E17"/>
    <w:rsid w:val="5F492C4D"/>
    <w:rsid w:val="603C34DB"/>
    <w:rsid w:val="61AB7DCA"/>
    <w:rsid w:val="62981B91"/>
    <w:rsid w:val="6331641E"/>
    <w:rsid w:val="634507D6"/>
    <w:rsid w:val="64756CF6"/>
    <w:rsid w:val="66A96DD8"/>
    <w:rsid w:val="67125BE3"/>
    <w:rsid w:val="68C8176A"/>
    <w:rsid w:val="699C2942"/>
    <w:rsid w:val="6A736535"/>
    <w:rsid w:val="6D043C28"/>
    <w:rsid w:val="6DE72561"/>
    <w:rsid w:val="6E285543"/>
    <w:rsid w:val="6EDD60FB"/>
    <w:rsid w:val="6F806028"/>
    <w:rsid w:val="71854868"/>
    <w:rsid w:val="71A23CAE"/>
    <w:rsid w:val="71D0498F"/>
    <w:rsid w:val="7309697F"/>
    <w:rsid w:val="73805275"/>
    <w:rsid w:val="749B039D"/>
    <w:rsid w:val="75141577"/>
    <w:rsid w:val="75203B5C"/>
    <w:rsid w:val="778D22F9"/>
    <w:rsid w:val="78E46760"/>
    <w:rsid w:val="7A514172"/>
    <w:rsid w:val="7ABB735F"/>
    <w:rsid w:val="7C9959CD"/>
    <w:rsid w:val="7D6D44B0"/>
    <w:rsid w:val="7E0B5ADD"/>
    <w:rsid w:val="7E5E4E79"/>
    <w:rsid w:val="7FC55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637BCC-513B-4C6F-89DE-E36DC6C3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after="150"/>
      <w:jc w:val="left"/>
    </w:pPr>
    <w:rPr>
      <w:rFonts w:cs="Times New Roman"/>
      <w:kern w:val="0"/>
      <w:sz w:val="24"/>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character" w:styleId="a8">
    <w:name w:val="Hyperlink"/>
    <w:basedOn w:val="a0"/>
    <w:qFormat/>
    <w:rPr>
      <w:color w:val="000000"/>
      <w:u w:val="none"/>
    </w:rPr>
  </w:style>
  <w:style w:type="character" w:customStyle="1" w:styleId="font11">
    <w:name w:val="font11"/>
    <w:basedOn w:val="a0"/>
    <w:qFormat/>
    <w:rPr>
      <w:rFonts w:ascii="仿宋_GB2312" w:eastAsia="仿宋_GB2312" w:cs="仿宋_GB2312" w:hint="default"/>
      <w:color w:val="000000"/>
      <w:sz w:val="28"/>
      <w:szCs w:val="28"/>
      <w:u w:val="none"/>
    </w:rPr>
  </w:style>
  <w:style w:type="character" w:customStyle="1" w:styleId="font01">
    <w:name w:val="font01"/>
    <w:basedOn w:val="a0"/>
    <w:qFormat/>
    <w:rPr>
      <w:rFonts w:ascii="Times New Roman" w:hAnsi="Times New Roman" w:cs="Times New Roman" w:hint="default"/>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霄</cp:lastModifiedBy>
  <cp:revision>2</cp:revision>
  <cp:lastPrinted>2019-12-23T02:25:00Z</cp:lastPrinted>
  <dcterms:created xsi:type="dcterms:W3CDTF">2020-04-09T02:29:00Z</dcterms:created>
  <dcterms:modified xsi:type="dcterms:W3CDTF">2020-04-09T02:29:00Z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