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Style w:val="7"/>
          <w:rFonts w:hint="default" w:ascii="Times New Roman" w:hAnsi="Times New Roman" w:eastAsia="黑体" w:cs="Times New Roman"/>
          <w:b w:val="0"/>
          <w:bCs w:val="0"/>
          <w:sz w:val="32"/>
          <w:szCs w:val="32"/>
          <w:lang w:val="en-US" w:eastAsia="zh-CN"/>
        </w:rPr>
      </w:pPr>
      <w:r>
        <w:rPr>
          <w:rStyle w:val="7"/>
          <w:rFonts w:hint="default" w:ascii="Times New Roman" w:hAnsi="Times New Roman" w:eastAsia="黑体" w:cs="Times New Roman"/>
          <w:b w:val="0"/>
          <w:bCs w:val="0"/>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Style w:val="7"/>
          <w:rFonts w:hint="default" w:ascii="Times New Roman" w:hAnsi="Times New Roman" w:eastAsia="方正小标宋_GBK" w:cs="Times New Roman"/>
          <w:b w:val="0"/>
          <w:bCs w:val="0"/>
          <w:sz w:val="44"/>
          <w:szCs w:val="44"/>
          <w:lang w:val="en-US" w:eastAsia="zh-CN"/>
        </w:rPr>
      </w:pPr>
      <w:r>
        <w:rPr>
          <w:rStyle w:val="7"/>
          <w:rFonts w:hint="default" w:ascii="Times New Roman" w:hAnsi="Times New Roman" w:eastAsia="方正小标宋_GBK" w:cs="Times New Roman"/>
          <w:b w:val="0"/>
          <w:bCs w:val="0"/>
          <w:sz w:val="44"/>
          <w:szCs w:val="44"/>
          <w:lang w:val="en-US" w:eastAsia="zh-CN"/>
        </w:rPr>
        <w:t>自治区发展改革委2021年</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Style w:val="7"/>
          <w:rFonts w:hint="default" w:ascii="Times New Roman" w:hAnsi="Times New Roman" w:eastAsia="方正小标宋_GBK" w:cs="Times New Roman"/>
          <w:b w:val="0"/>
          <w:bCs w:val="0"/>
          <w:sz w:val="44"/>
          <w:szCs w:val="44"/>
          <w:lang w:val="en-US" w:eastAsia="zh-CN"/>
        </w:rPr>
      </w:pPr>
      <w:r>
        <w:rPr>
          <w:rStyle w:val="7"/>
          <w:rFonts w:hint="default" w:ascii="Times New Roman" w:hAnsi="Times New Roman" w:eastAsia="方正小标宋_GBK" w:cs="Times New Roman"/>
          <w:b w:val="0"/>
          <w:bCs w:val="0"/>
          <w:sz w:val="44"/>
          <w:szCs w:val="44"/>
          <w:lang w:val="en-US" w:eastAsia="zh-CN"/>
        </w:rPr>
        <w:t>生态环境保护工作计划</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为严格落实生态环境保护工作责任，协同深入打好污染防治攻坚战，根据</w:t>
      </w:r>
      <w:r>
        <w:rPr>
          <w:rStyle w:val="7"/>
          <w:rFonts w:hint="default" w:ascii="Times New Roman" w:hAnsi="Times New Roman" w:eastAsia="仿宋_GB2312" w:cs="Times New Roman"/>
          <w:b w:val="0"/>
          <w:bCs w:val="0"/>
          <w:sz w:val="32"/>
          <w:szCs w:val="32"/>
          <w:lang w:val="en-US" w:eastAsia="zh-CN"/>
        </w:rPr>
        <w:t>根据《</w:t>
      </w:r>
      <w:r>
        <w:rPr>
          <w:rFonts w:hint="default" w:ascii="Times New Roman" w:hAnsi="Times New Roman" w:eastAsia="仿宋_GB2312" w:cs="Times New Roman"/>
          <w:sz w:val="32"/>
          <w:szCs w:val="32"/>
        </w:rPr>
        <w:t>自治区生态环境保护</w:t>
      </w:r>
      <w:r>
        <w:rPr>
          <w:rStyle w:val="7"/>
          <w:rFonts w:hint="default" w:ascii="Times New Roman" w:hAnsi="Times New Roman" w:eastAsia="仿宋_GB2312" w:cs="Times New Roman"/>
          <w:b w:val="0"/>
          <w:bCs w:val="0"/>
          <w:sz w:val="32"/>
          <w:szCs w:val="32"/>
          <w:lang w:val="en-US" w:eastAsia="zh-CN"/>
        </w:rPr>
        <w:t>领导小组办公室关于印发2021年度大气、水、土壤污染防治和应对气候变化等重点工作安排的通知》和《党委和政府及有关部门生态环境保护责任》等文件要求，制定本计划。</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Style w:val="7"/>
          <w:rFonts w:hint="eastAsia" w:ascii="黑体" w:hAnsi="黑体" w:eastAsia="黑体" w:cs="黑体"/>
          <w:b w:val="0"/>
          <w:bCs w:val="0"/>
          <w:sz w:val="32"/>
          <w:szCs w:val="32"/>
          <w:lang w:val="en-US" w:eastAsia="zh-CN"/>
        </w:rPr>
      </w:pPr>
      <w:r>
        <w:rPr>
          <w:rStyle w:val="7"/>
          <w:rFonts w:hint="eastAsia" w:ascii="黑体" w:hAnsi="黑体" w:eastAsia="黑体" w:cs="黑体"/>
          <w:b w:val="0"/>
          <w:bCs w:val="0"/>
          <w:sz w:val="32"/>
          <w:szCs w:val="32"/>
          <w:lang w:val="en-US" w:eastAsia="zh-CN"/>
        </w:rPr>
        <w:t>一、总体要求</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Style w:val="7"/>
          <w:rFonts w:hint="default" w:ascii="Times New Roman" w:hAnsi="Times New Roman" w:eastAsia="仿宋_GB2312" w:cs="Times New Roman"/>
          <w:b w:val="0"/>
          <w:bCs w:val="0"/>
          <w:sz w:val="32"/>
          <w:szCs w:val="32"/>
          <w:lang w:val="en-US" w:eastAsia="zh-CN"/>
        </w:rPr>
      </w:pPr>
      <w:r>
        <w:rPr>
          <w:rStyle w:val="7"/>
          <w:rFonts w:hint="default" w:ascii="Times New Roman" w:hAnsi="Times New Roman" w:eastAsia="仿宋_GB2312" w:cs="Times New Roman"/>
          <w:b w:val="0"/>
          <w:bCs w:val="0"/>
          <w:kern w:val="2"/>
          <w:sz w:val="32"/>
          <w:szCs w:val="32"/>
          <w:lang w:val="en-US" w:eastAsia="zh-CN" w:bidi="ar-SA"/>
        </w:rPr>
        <w:t>深入学习贯彻</w:t>
      </w:r>
      <w:r>
        <w:rPr>
          <w:rStyle w:val="7"/>
          <w:rFonts w:hint="default" w:ascii="Times New Roman" w:hAnsi="Times New Roman" w:eastAsia="仿宋_GB2312" w:cs="Times New Roman"/>
          <w:b w:val="0"/>
          <w:bCs w:val="0"/>
          <w:sz w:val="32"/>
          <w:szCs w:val="32"/>
          <w:lang w:val="en-US" w:eastAsia="zh-CN"/>
        </w:rPr>
        <w:t>习近平生态文明思想和</w:t>
      </w:r>
      <w:r>
        <w:rPr>
          <w:rStyle w:val="7"/>
          <w:rFonts w:hint="default" w:ascii="Times New Roman" w:hAnsi="Times New Roman" w:eastAsia="仿宋_GB2312" w:cs="Times New Roman"/>
          <w:b w:val="0"/>
          <w:bCs w:val="0"/>
          <w:kern w:val="2"/>
          <w:sz w:val="32"/>
          <w:szCs w:val="32"/>
          <w:lang w:val="en-US" w:eastAsia="zh-CN" w:bidi="ar-SA"/>
        </w:rPr>
        <w:t>习近平总书记视察宁夏重要讲话精神，认真落实</w:t>
      </w:r>
      <w:r>
        <w:rPr>
          <w:rStyle w:val="7"/>
          <w:rFonts w:hint="default" w:ascii="Times New Roman" w:hAnsi="Times New Roman" w:eastAsia="仿宋_GB2312" w:cs="Times New Roman"/>
          <w:b w:val="0"/>
          <w:bCs w:val="0"/>
          <w:sz w:val="32"/>
          <w:szCs w:val="32"/>
          <w:lang w:val="en-US" w:eastAsia="zh-CN"/>
        </w:rPr>
        <w:t>“管发展的管环保、管生产的管环保、管行业的管环保”的要求，聚焦目标、压实责任、强化措施、狠抓落实，扎实推进承担的大气、水、土壤污染防治和应对气候变化等重点工作，巩固中央环保督察“回头看”反馈问题整改成果，加大生态环保领域投资力度，积极落实绿色价格政策，努力建设黄河流域生态保护和高质量发展先行区。</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Style w:val="7"/>
          <w:rFonts w:hint="eastAsia" w:ascii="黑体" w:hAnsi="黑体" w:eastAsia="黑体" w:cs="黑体"/>
          <w:b w:val="0"/>
          <w:bCs w:val="0"/>
          <w:sz w:val="32"/>
          <w:szCs w:val="32"/>
          <w:lang w:val="en-US" w:eastAsia="zh-CN"/>
        </w:rPr>
      </w:pPr>
      <w:r>
        <w:rPr>
          <w:rStyle w:val="7"/>
          <w:rFonts w:hint="eastAsia" w:ascii="黑体" w:hAnsi="黑体" w:eastAsia="黑体" w:cs="黑体"/>
          <w:b w:val="0"/>
          <w:bCs w:val="0"/>
          <w:sz w:val="32"/>
          <w:szCs w:val="32"/>
          <w:lang w:val="en-US" w:eastAsia="zh-CN"/>
        </w:rPr>
        <w:t>二、重点任务</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Style w:val="7"/>
          <w:rFonts w:hint="default" w:ascii="Times New Roman" w:hAnsi="Times New Roman" w:eastAsia="仿宋_GB2312" w:cs="Times New Roman"/>
          <w:b w:val="0"/>
          <w:bCs/>
          <w:kern w:val="0"/>
          <w:sz w:val="32"/>
          <w:szCs w:val="32"/>
          <w:lang w:val="en-US" w:eastAsia="zh-CN" w:bidi="ar"/>
        </w:rPr>
      </w:pPr>
      <w:r>
        <w:rPr>
          <w:rStyle w:val="7"/>
          <w:rFonts w:hint="eastAsia" w:ascii="楷体_GB2312" w:hAnsi="楷体_GB2312" w:eastAsia="楷体_GB2312" w:cs="楷体_GB2312"/>
          <w:b w:val="0"/>
          <w:bCs/>
          <w:kern w:val="0"/>
          <w:sz w:val="32"/>
          <w:szCs w:val="32"/>
          <w:lang w:val="en-US" w:eastAsia="zh-CN" w:bidi="ar"/>
        </w:rPr>
        <w:t>（一）深入推进大气污染防治。</w:t>
      </w:r>
      <w:r>
        <w:rPr>
          <w:rStyle w:val="7"/>
          <w:rFonts w:hint="default" w:ascii="Times New Roman" w:hAnsi="Times New Roman" w:eastAsia="仿宋_GB2312" w:cs="Times New Roman"/>
          <w:b w:val="0"/>
          <w:bCs w:val="0"/>
          <w:kern w:val="0"/>
          <w:sz w:val="32"/>
          <w:szCs w:val="32"/>
          <w:lang w:val="en-US" w:eastAsia="zh-CN" w:bidi="ar"/>
        </w:rPr>
        <w:t>认真抓好严格产业准入、化解过剩产能、控制煤炭消费总量、发展清洁能源、推进清洁取暖、提高能源利用效率、完善新能源汽车基础设施、落实绿色价格政策等重点工作，确保完成各量化目标任务。2021年，全区钢铁、电解铝建成产能分别控制在700万吨和120万吨以内；单位GDP煤耗下降3%左右，非化石能源消费总量占一次能源消费比重保持在10%左右，电量占全社会用电量的比重提高到23.7%；全区风电装机规模达到1420万千瓦以上，争取光伏发电规模达到1360万千瓦以上。</w:t>
      </w:r>
      <w:r>
        <w:rPr>
          <w:rStyle w:val="7"/>
          <w:rFonts w:hint="default" w:ascii="Times New Roman" w:hAnsi="Times New Roman" w:eastAsia="仿宋_GB2312" w:cs="Times New Roman"/>
          <w:b w:val="0"/>
          <w:bCs/>
          <w:kern w:val="0"/>
          <w:sz w:val="32"/>
          <w:szCs w:val="32"/>
          <w:lang w:val="en-US" w:eastAsia="zh-CN" w:bidi="ar"/>
        </w:rPr>
        <w:t>各项具体任务分工清单见附表1。</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Style w:val="7"/>
          <w:rFonts w:hint="default" w:ascii="Times New Roman" w:hAnsi="Times New Roman" w:eastAsia="仿宋_GB2312" w:cs="Times New Roman"/>
          <w:b w:val="0"/>
          <w:bCs/>
          <w:kern w:val="0"/>
          <w:sz w:val="32"/>
          <w:szCs w:val="32"/>
          <w:lang w:val="en-US" w:eastAsia="zh-CN" w:bidi="ar"/>
        </w:rPr>
      </w:pPr>
      <w:r>
        <w:rPr>
          <w:rStyle w:val="7"/>
          <w:rFonts w:hint="eastAsia" w:ascii="楷体_GB2312" w:hAnsi="楷体_GB2312" w:eastAsia="楷体_GB2312" w:cs="楷体_GB2312"/>
          <w:b w:val="0"/>
          <w:bCs/>
          <w:kern w:val="0"/>
          <w:sz w:val="32"/>
          <w:szCs w:val="32"/>
          <w:lang w:val="en-US" w:eastAsia="zh-CN" w:bidi="ar"/>
        </w:rPr>
        <w:t>（二）协同推进水生态环境保护。</w:t>
      </w:r>
      <w:r>
        <w:rPr>
          <w:rStyle w:val="7"/>
          <w:rFonts w:hint="default" w:ascii="Times New Roman" w:hAnsi="Times New Roman" w:eastAsia="仿宋_GB2312" w:cs="Times New Roman"/>
          <w:b w:val="0"/>
          <w:bCs w:val="0"/>
          <w:kern w:val="0"/>
          <w:sz w:val="32"/>
          <w:szCs w:val="32"/>
          <w:lang w:val="en-US" w:eastAsia="zh-CN" w:bidi="ar"/>
        </w:rPr>
        <w:t>加快《宁夏回族自治区建设黄河流域生态保护和高质量发展先行区促进条例（草案）》起草工作。积极推进星海湖环境问题整改，督促石嘴山市加快建设补水水质提升工程、内循环工程、南域湿地生态修复工程。配合抓好城镇生活污水提质增效，编制全区“十四五”城镇污水处理及资源化利用设施建设规划。</w:t>
      </w:r>
      <w:r>
        <w:rPr>
          <w:rStyle w:val="7"/>
          <w:rFonts w:hint="default" w:ascii="Times New Roman" w:hAnsi="Times New Roman" w:eastAsia="仿宋_GB2312" w:cs="Times New Roman"/>
          <w:b w:val="0"/>
          <w:bCs/>
          <w:kern w:val="0"/>
          <w:sz w:val="32"/>
          <w:szCs w:val="32"/>
          <w:lang w:val="en-US" w:eastAsia="zh-CN" w:bidi="ar"/>
        </w:rPr>
        <w:t>各地发展改革部门会同住建部门认真谋划储备“十四”五城镇污水处理及资源化利用项目，做好项目立项审批的服务工作。多渠道争取资金支持水污染防治、水生态修复项目实施。各市、县（区）加快</w:t>
      </w:r>
      <w:r>
        <w:rPr>
          <w:rFonts w:hint="default" w:ascii="Times New Roman" w:hAnsi="Times New Roman" w:eastAsia="仿宋_GB2312" w:cs="Times New Roman"/>
          <w:b w:val="0"/>
          <w:bCs w:val="0"/>
          <w:color w:val="auto"/>
          <w:kern w:val="2"/>
          <w:sz w:val="32"/>
          <w:szCs w:val="32"/>
          <w:lang w:val="en-US" w:eastAsia="zh-CN" w:bidi="ar-SA"/>
        </w:rPr>
        <w:t>完善本地区污水处理费收费标准，</w:t>
      </w:r>
      <w:r>
        <w:rPr>
          <w:rStyle w:val="7"/>
          <w:rFonts w:hint="default" w:ascii="Times New Roman" w:hAnsi="Times New Roman" w:eastAsia="仿宋_GB2312" w:cs="Times New Roman"/>
          <w:b w:val="0"/>
          <w:bCs/>
          <w:kern w:val="0"/>
          <w:sz w:val="32"/>
          <w:szCs w:val="32"/>
          <w:lang w:val="en-US" w:eastAsia="zh-CN" w:bidi="ar"/>
        </w:rPr>
        <w:t>构建覆盖污水处理和污泥处置成本并合理盈利的价格机制。各项具体任务分工清单见附表2。</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kern w:val="2"/>
          <w:sz w:val="32"/>
          <w:szCs w:val="32"/>
          <w:u w:val="none"/>
          <w:lang w:val="en-US" w:eastAsia="zh-CN" w:bidi="ar-SA"/>
        </w:rPr>
      </w:pPr>
      <w:r>
        <w:rPr>
          <w:rStyle w:val="7"/>
          <w:rFonts w:hint="eastAsia" w:ascii="楷体_GB2312" w:hAnsi="楷体_GB2312" w:eastAsia="楷体_GB2312" w:cs="楷体_GB2312"/>
          <w:b w:val="0"/>
          <w:bCs/>
          <w:kern w:val="0"/>
          <w:sz w:val="32"/>
          <w:szCs w:val="32"/>
          <w:lang w:val="en-US" w:eastAsia="zh-CN" w:bidi="ar"/>
        </w:rPr>
        <w:t>（三）配合推进土壤污染防治。</w:t>
      </w:r>
      <w:r>
        <w:rPr>
          <w:rFonts w:hint="default" w:ascii="Times New Roman" w:hAnsi="Times New Roman" w:eastAsia="仿宋_GB2312" w:cs="Times New Roman"/>
          <w:b w:val="0"/>
          <w:bCs w:val="0"/>
          <w:color w:val="auto"/>
          <w:kern w:val="2"/>
          <w:sz w:val="32"/>
          <w:szCs w:val="32"/>
          <w:u w:val="none"/>
          <w:lang w:val="en-US" w:eastAsia="zh-CN" w:bidi="ar-SA"/>
        </w:rPr>
        <w:t>会同工信部门积极推动石嘴山、宁东基地工业资源综合利用基地和中宁工业园区大宗固体废物综合利用基地建设。积极支持固体废物综合利用、危险废物处置、医疗废物处置设施提升改造项目实施。编制</w:t>
      </w:r>
      <w:r>
        <w:rPr>
          <w:rStyle w:val="7"/>
          <w:rFonts w:hint="default" w:ascii="Times New Roman" w:hAnsi="Times New Roman" w:eastAsia="仿宋_GB2312" w:cs="Times New Roman"/>
          <w:b w:val="0"/>
          <w:bCs w:val="0"/>
          <w:kern w:val="0"/>
          <w:sz w:val="32"/>
          <w:szCs w:val="32"/>
          <w:lang w:val="en-US" w:eastAsia="zh-CN" w:bidi="ar"/>
        </w:rPr>
        <w:t>全区“十四五”城镇</w:t>
      </w:r>
      <w:r>
        <w:rPr>
          <w:rFonts w:hint="default" w:ascii="Times New Roman" w:hAnsi="Times New Roman" w:eastAsia="仿宋_GB2312" w:cs="Times New Roman"/>
          <w:b w:val="0"/>
          <w:bCs w:val="0"/>
          <w:color w:val="auto"/>
          <w:kern w:val="2"/>
          <w:sz w:val="32"/>
          <w:szCs w:val="32"/>
          <w:u w:val="none"/>
          <w:lang w:val="en-US" w:eastAsia="zh-CN" w:bidi="ar-SA"/>
        </w:rPr>
        <w:t>生活垃圾分类和无害化处理设施规划，积极推进生活垃圾处理设施建设，督促加快建设固原市、中卫市、石嘴山市生活垃圾焚烧发电项目，进一步提升生活垃圾无害化处理能力，减少生活垃圾填埋。</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Style w:val="7"/>
          <w:rFonts w:hint="default" w:ascii="Times New Roman" w:hAnsi="Times New Roman" w:eastAsia="仿宋_GB2312" w:cs="Times New Roman"/>
          <w:b w:val="0"/>
          <w:bCs/>
          <w:kern w:val="0"/>
          <w:sz w:val="32"/>
          <w:szCs w:val="32"/>
          <w:lang w:val="en-US" w:eastAsia="zh-CN" w:bidi="ar"/>
        </w:rPr>
      </w:pPr>
      <w:r>
        <w:rPr>
          <w:rStyle w:val="7"/>
          <w:rFonts w:hint="eastAsia" w:ascii="楷体_GB2312" w:hAnsi="楷体_GB2312" w:eastAsia="楷体_GB2312" w:cs="楷体_GB2312"/>
          <w:b w:val="0"/>
          <w:bCs/>
          <w:kern w:val="0"/>
          <w:sz w:val="32"/>
          <w:szCs w:val="32"/>
          <w:lang w:val="en-US" w:eastAsia="zh-CN" w:bidi="ar"/>
        </w:rPr>
        <w:t>（四）大力推进应对气候变化工作。</w:t>
      </w:r>
      <w:r>
        <w:rPr>
          <w:rFonts w:hint="default" w:ascii="Times New Roman" w:hAnsi="Times New Roman" w:eastAsia="仿宋_GB2312" w:cs="Times New Roman"/>
          <w:b w:val="0"/>
          <w:bCs w:val="0"/>
          <w:color w:val="auto"/>
          <w:kern w:val="2"/>
          <w:sz w:val="32"/>
          <w:szCs w:val="32"/>
          <w:u w:val="none"/>
          <w:lang w:val="en-US" w:eastAsia="zh-CN" w:bidi="ar-SA"/>
        </w:rPr>
        <w:t>加快产业结构转型升级，着力培育新兴产业领军企业，做优做强主导产业，提档发展生产性服务业。严格实施能源消费总量和强度双控，制定“十四五”节能政策体系，坚决遏制高耗能高排放项目盲目发展。大力构建低碳能源体系，严格控制化石能源消费总量，加快清洁能源推广利用。开展宁夏碳达峰情境下能源消费“双控”目标及实现路径》课题研究，积极配合制定碳达峰碳中和行动方案和配套措施。2021年，全区能源消费总量控制在260万吨标准煤以内，单位国内生产总值能源消费较2020年下降3.3%。全区新能源电力装机比重达到45%以上。</w:t>
      </w:r>
      <w:r>
        <w:rPr>
          <w:rStyle w:val="7"/>
          <w:rFonts w:hint="default" w:ascii="Times New Roman" w:hAnsi="Times New Roman" w:eastAsia="仿宋_GB2312" w:cs="Times New Roman"/>
          <w:b w:val="0"/>
          <w:bCs/>
          <w:kern w:val="0"/>
          <w:sz w:val="32"/>
          <w:szCs w:val="32"/>
          <w:lang w:val="en-US" w:eastAsia="zh-CN" w:bidi="ar"/>
        </w:rPr>
        <w:t>各项具体任务分工清单见附表3。</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Style w:val="7"/>
          <w:rFonts w:hint="default" w:ascii="Times New Roman" w:hAnsi="Times New Roman" w:eastAsia="仿宋_GB2312" w:cs="Times New Roman"/>
          <w:b w:val="0"/>
          <w:bCs w:val="0"/>
          <w:sz w:val="32"/>
          <w:szCs w:val="32"/>
          <w:lang w:val="en-US" w:eastAsia="zh-CN"/>
        </w:rPr>
      </w:pPr>
      <w:r>
        <w:rPr>
          <w:rStyle w:val="7"/>
          <w:rFonts w:hint="eastAsia" w:ascii="楷体_GB2312" w:hAnsi="楷体_GB2312" w:eastAsia="楷体_GB2312" w:cs="楷体_GB2312"/>
          <w:b w:val="0"/>
          <w:bCs w:val="0"/>
          <w:sz w:val="32"/>
          <w:szCs w:val="32"/>
          <w:lang w:val="en-US" w:eastAsia="zh-CN"/>
        </w:rPr>
        <w:t>（五）巩固中央环保督察“回头看”反馈问题整改成果。</w:t>
      </w:r>
      <w:r>
        <w:rPr>
          <w:rStyle w:val="7"/>
          <w:rFonts w:hint="default" w:ascii="Times New Roman" w:hAnsi="Times New Roman" w:eastAsia="仿宋_GB2312" w:cs="Times New Roman"/>
          <w:b w:val="0"/>
          <w:bCs w:val="0"/>
          <w:sz w:val="32"/>
          <w:szCs w:val="32"/>
          <w:lang w:val="en-US" w:eastAsia="zh-CN"/>
        </w:rPr>
        <w:t>将习近平生态文明思想、习近平总书记视察宁夏重要讲话精神等内容纳入委党组理论学习中心组2021年学习计划，持续加强学习，切实运用习近平生态文明思想指导推动发展改革工作。坚持对整改工作的常态化组织领导，定期研究布署整改工作。各责任处室继续按照《自治区发展改革委关于印发&lt;贯彻落实中央环境保护督察“回头看”及水环境问题专项督察反馈意见整改方案&gt;的通知》（宁发改环资〔2019〕284 号）明确的任务及分工推进落实，巩固整改成果。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Style w:val="7"/>
          <w:rFonts w:hint="eastAsia" w:ascii="楷体_GB2312" w:hAnsi="楷体_GB2312" w:eastAsia="楷体_GB2312" w:cs="楷体_GB2312"/>
          <w:b w:val="0"/>
          <w:bCs/>
          <w:kern w:val="0"/>
          <w:sz w:val="32"/>
          <w:szCs w:val="32"/>
          <w:lang w:val="en-US" w:eastAsia="zh-CN" w:bidi="ar"/>
        </w:rPr>
        <w:t>（六）加大生态环保领域投资。</w:t>
      </w:r>
      <w:r>
        <w:rPr>
          <w:rStyle w:val="7"/>
          <w:rFonts w:hint="default" w:ascii="Times New Roman" w:hAnsi="Times New Roman" w:eastAsia="仿宋_GB2312" w:cs="Times New Roman"/>
          <w:b w:val="0"/>
          <w:bCs w:val="0"/>
          <w:sz w:val="32"/>
          <w:szCs w:val="32"/>
          <w:lang w:val="en-US" w:eastAsia="zh-CN"/>
        </w:rPr>
        <w:t>将生态环境治理项目纳入自治区重点建设项目和重大项目，加快组织推进。</w:t>
      </w:r>
      <w:r>
        <w:rPr>
          <w:rStyle w:val="7"/>
          <w:rFonts w:hint="default" w:ascii="Times New Roman" w:hAnsi="Times New Roman" w:eastAsia="仿宋_GB2312" w:cs="Times New Roman"/>
          <w:b w:val="0"/>
          <w:bCs/>
          <w:kern w:val="0"/>
          <w:sz w:val="32"/>
          <w:szCs w:val="32"/>
          <w:lang w:val="en-US" w:eastAsia="zh-CN" w:bidi="ar"/>
        </w:rPr>
        <w:t>各地发展改革部门</w:t>
      </w:r>
      <w:r>
        <w:rPr>
          <w:rStyle w:val="7"/>
          <w:rFonts w:hint="default" w:ascii="Times New Roman" w:hAnsi="Times New Roman" w:eastAsia="仿宋_GB2312" w:cs="Times New Roman"/>
          <w:b w:val="0"/>
          <w:bCs w:val="0"/>
          <w:sz w:val="32"/>
          <w:szCs w:val="32"/>
          <w:lang w:val="en-US" w:eastAsia="zh-CN"/>
        </w:rPr>
        <w:t>要围绕</w:t>
      </w:r>
      <w:r>
        <w:rPr>
          <w:rFonts w:hint="default" w:ascii="Times New Roman" w:hAnsi="Times New Roman" w:eastAsia="仿宋_GB2312" w:cs="Times New Roman"/>
          <w:sz w:val="32"/>
          <w:szCs w:val="32"/>
          <w:lang w:val="en-US" w:eastAsia="zh-CN"/>
        </w:rPr>
        <w:t>黄河流域生态保护和高质量发展先行区建设，</w:t>
      </w:r>
      <w:r>
        <w:rPr>
          <w:rFonts w:hint="default" w:ascii="Times New Roman" w:hAnsi="Times New Roman" w:eastAsia="仿宋_GB2312" w:cs="Times New Roman"/>
          <w:b w:val="0"/>
          <w:bCs w:val="0"/>
          <w:sz w:val="32"/>
          <w:szCs w:val="32"/>
          <w:lang w:val="en-US" w:eastAsia="zh-CN"/>
        </w:rPr>
        <w:t>会同相关部门积极谋划储备生态环境保护领域重大项目。各处室要积极争取安排中央预算内投资、自治区预算内统筹投资支持生态环境治理项目实施，加快补齐生态环境保护领域基础设施短板弱项。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Style w:val="7"/>
          <w:rFonts w:hint="eastAsia" w:ascii="黑体" w:hAnsi="黑体" w:eastAsia="黑体" w:cs="黑体"/>
          <w:b w:val="0"/>
          <w:bCs w:val="0"/>
          <w:sz w:val="32"/>
          <w:szCs w:val="32"/>
          <w:lang w:val="en-US" w:eastAsia="zh-CN"/>
        </w:rPr>
      </w:pPr>
      <w:r>
        <w:rPr>
          <w:rStyle w:val="7"/>
          <w:rFonts w:hint="eastAsia" w:ascii="黑体" w:hAnsi="黑体" w:eastAsia="黑体" w:cs="黑体"/>
          <w:b w:val="0"/>
          <w:bCs w:val="0"/>
          <w:sz w:val="32"/>
          <w:szCs w:val="32"/>
          <w:lang w:val="en-US" w:eastAsia="zh-CN"/>
        </w:rPr>
        <w:t>三、保障措施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（一）加强组织领导</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sz w:val="32"/>
          <w:szCs w:val="32"/>
          <w:lang w:val="en-US" w:eastAsia="zh-CN"/>
        </w:rPr>
        <w:t>各责任处室、各级发展改革部门要高度重视承担的生态环境保护工作任务，加强组织领导，责任落实</w:t>
      </w:r>
      <w:r>
        <w:rPr>
          <w:rFonts w:hint="default" w:ascii="Times New Roman" w:hAnsi="Times New Roman" w:eastAsia="仿宋_GB2312" w:cs="Times New Roman"/>
          <w:sz w:val="32"/>
          <w:szCs w:val="32"/>
          <w:lang w:val="en-US" w:eastAsia="zh-CN"/>
        </w:rPr>
        <w:t>到人，确保2021年度目标任务顺利完成。我委继续将能耗双控目标等生态环境保护重要目标任务完成情况纳入各地效能考核内容，将生态环境保护工作推进情况纳入各责任处室干部的年度考核和任职考察内容，强化考核结果运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lang w:val="en-US" w:eastAsia="zh-CN"/>
        </w:rPr>
        <w:t>（二）制定细化措施。</w:t>
      </w:r>
      <w:r>
        <w:rPr>
          <w:rFonts w:hint="default" w:ascii="Times New Roman" w:hAnsi="Times New Roman" w:eastAsia="仿宋_GB2312" w:cs="Times New Roman"/>
          <w:sz w:val="32"/>
          <w:szCs w:val="32"/>
          <w:lang w:val="en-US" w:eastAsia="zh-CN"/>
        </w:rPr>
        <w:t>各责任处室对照目标任务和责任分工，针对牵头任务制定配套措施或细化方案，明确重点任务和完成时限，加快推进各项任务落实，确保量化目标任务如期实现。各市、县（区）发</w:t>
      </w:r>
      <w:r>
        <w:rPr>
          <w:rFonts w:hint="default" w:ascii="Times New Roman" w:hAnsi="Times New Roman" w:eastAsia="仿宋_GB2312" w:cs="Times New Roman"/>
          <w:sz w:val="32"/>
          <w:szCs w:val="32"/>
        </w:rPr>
        <w:t>展改革委</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，宁东管委会经济发展局要根据本通知要求，结合本级</w:t>
      </w:r>
      <w:r>
        <w:rPr>
          <w:rFonts w:hint="default" w:ascii="Times New Roman" w:hAnsi="Times New Roman" w:eastAsia="仿宋_GB2312" w:cs="Times New Roman"/>
          <w:sz w:val="32"/>
          <w:szCs w:val="32"/>
          <w:lang w:eastAsia="zh-CN"/>
        </w:rPr>
        <w:t>党委</w:t>
      </w:r>
      <w:r>
        <w:rPr>
          <w:rFonts w:hint="default" w:ascii="Times New Roman" w:hAnsi="Times New Roman" w:eastAsia="仿宋_GB2312" w:cs="Times New Roman"/>
          <w:sz w:val="32"/>
          <w:szCs w:val="32"/>
        </w:rPr>
        <w:t>政府下达的</w:t>
      </w:r>
      <w:r>
        <w:rPr>
          <w:rFonts w:hint="default" w:ascii="Times New Roman" w:hAnsi="Times New Roman" w:eastAsia="仿宋_GB2312" w:cs="Times New Roman"/>
          <w:sz w:val="32"/>
          <w:szCs w:val="32"/>
          <w:lang w:eastAsia="zh-CN"/>
        </w:rPr>
        <w:t>生态环境保护具体目标</w:t>
      </w:r>
      <w:r>
        <w:rPr>
          <w:rFonts w:hint="default" w:ascii="Times New Roman" w:hAnsi="Times New Roman" w:eastAsia="仿宋_GB2312" w:cs="Times New Roman"/>
          <w:sz w:val="32"/>
          <w:szCs w:val="32"/>
        </w:rPr>
        <w:t>任务，制定细化</w:t>
      </w:r>
      <w:r>
        <w:rPr>
          <w:rFonts w:hint="default" w:ascii="Times New Roman" w:hAnsi="Times New Roman" w:eastAsia="仿宋_GB2312" w:cs="Times New Roman"/>
          <w:sz w:val="32"/>
          <w:szCs w:val="32"/>
          <w:lang w:eastAsia="zh-CN"/>
        </w:rPr>
        <w:t>工作</w:t>
      </w:r>
      <w:r>
        <w:rPr>
          <w:rFonts w:hint="default" w:ascii="Times New Roman" w:hAnsi="Times New Roman" w:eastAsia="仿宋_GB2312" w:cs="Times New Roman"/>
          <w:sz w:val="32"/>
          <w:szCs w:val="32"/>
        </w:rPr>
        <w:t>方案，切实抓好各项任务落实。</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kern w:val="2"/>
          <w:sz w:val="32"/>
          <w:szCs w:val="32"/>
          <w:lang w:val="en-US" w:eastAsia="zh-CN" w:bidi="ar-SA"/>
        </w:rPr>
      </w:pPr>
      <w:r>
        <w:rPr>
          <w:rFonts w:hint="eastAsia" w:ascii="楷体_GB2312" w:hAnsi="楷体_GB2312" w:eastAsia="楷体_GB2312" w:cs="楷体_GB2312"/>
          <w:sz w:val="32"/>
          <w:szCs w:val="32"/>
          <w:lang w:val="en-US" w:eastAsia="zh-CN"/>
        </w:rPr>
        <w:t>（三）强化协调督查</w:t>
      </w:r>
      <w:r>
        <w:rPr>
          <w:rFonts w:hint="default" w:ascii="Times New Roman" w:hAnsi="Times New Roman" w:eastAsia="仿宋_GB2312" w:cs="Times New Roman"/>
          <w:sz w:val="32"/>
          <w:szCs w:val="32"/>
          <w:lang w:val="en-US" w:eastAsia="zh-CN"/>
        </w:rPr>
        <w:t>。各责任处室、各级发改部门加强承担工作的组织协调，定期调度工作进展情况，掌握工作中存在的困难和问题，及时协调督促解决。各责任处室每季度将工作进展情况报送环资处，及时汇总向自治区生态环境保护领导小组办公室报送工作进展，定期向委党组报告各项工作进展情况。</w:t>
      </w:r>
      <w:r>
        <w:rPr>
          <w:rFonts w:hint="default" w:ascii="Times New Roman" w:hAnsi="Times New Roman" w:eastAsia="仿宋_GB2312" w:cs="Times New Roman"/>
          <w:b w:val="0"/>
          <w:bCs w:val="0"/>
          <w:kern w:val="2"/>
          <w:sz w:val="32"/>
          <w:szCs w:val="32"/>
          <w:lang w:val="en-US" w:eastAsia="zh-CN" w:bidi="ar-SA"/>
        </w:rPr>
        <w:t xml:space="preserve">  </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1"/>
        <w:rPr>
          <w:rFonts w:hint="default" w:ascii="Times New Roman" w:hAnsi="Times New Roman" w:eastAsia="仿宋_GB2312" w:cs="Times New Roman"/>
          <w:b w:val="0"/>
          <w:bCs w:val="0"/>
          <w:kern w:val="2"/>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1"/>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附表：1.自治区发展改革委2021年全区大气污染防治重</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1"/>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 xml:space="preserve">        点工作任务分工清单</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1"/>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 xml:space="preserve">      2.自治区发展改革委2021年全区水污染防治重</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1"/>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 xml:space="preserve">        点工作任务分工清单</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1"/>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 xml:space="preserve">      3.自治区发展改革委2021年全区应对气候变化</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1"/>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 xml:space="preserve">        重点工作任务分工清单</w:t>
      </w:r>
    </w:p>
    <w:p>
      <w:pPr>
        <w:pStyle w:val="2"/>
        <w:rPr>
          <w:rFonts w:hint="eastAsia" w:ascii="Times New Roman" w:hAnsi="Times New Roman" w:eastAsia="仿宋_GB2312" w:cs="Times New Roman"/>
          <w:b w:val="0"/>
          <w:bCs w:val="0"/>
          <w:kern w:val="2"/>
          <w:sz w:val="32"/>
          <w:szCs w:val="32"/>
          <w:lang w:val="en-US" w:eastAsia="zh-CN" w:bidi="ar-SA"/>
        </w:rPr>
      </w:pPr>
    </w:p>
    <w:p>
      <w:pPr>
        <w:pStyle w:val="2"/>
        <w:rPr>
          <w:rFonts w:hint="default" w:ascii="Times New Roman" w:hAnsi="Times New Roman" w:eastAsia="仿宋_GB2312" w:cs="Times New Roman"/>
          <w:color w:val="000000"/>
          <w:kern w:val="0"/>
          <w:sz w:val="24"/>
          <w:szCs w:val="24"/>
          <w:lang w:eastAsia="zh-CN"/>
        </w:rPr>
      </w:pPr>
    </w:p>
    <w:p>
      <w:pPr>
        <w:pStyle w:val="2"/>
        <w:rPr>
          <w:rFonts w:hint="eastAsia" w:ascii="Times New Roman" w:hAnsi="Times New Roman" w:eastAsia="仿宋_GB2312" w:cs="Times New Roman"/>
          <w:color w:val="000000"/>
          <w:kern w:val="0"/>
          <w:sz w:val="24"/>
          <w:szCs w:val="24"/>
          <w:lang w:val="en-US" w:eastAsia="zh-CN"/>
        </w:rPr>
        <w:sectPr>
          <w:headerReference r:id="rId3" w:type="default"/>
          <w:footerReference r:id="rId5" w:type="default"/>
          <w:headerReference r:id="rId4" w:type="even"/>
          <w:footerReference r:id="rId6" w:type="even"/>
          <w:pgSz w:w="11907" w:h="16840"/>
          <w:pgMar w:top="1701" w:right="1474" w:bottom="1701" w:left="1588" w:header="851" w:footer="1418" w:gutter="0"/>
          <w:pgBorders>
            <w:top w:val="none" w:color="auto" w:sz="0" w:space="0"/>
            <w:left w:val="none" w:color="auto" w:sz="0" w:space="0"/>
            <w:bottom w:val="none" w:color="auto" w:sz="0" w:space="0"/>
            <w:right w:val="none" w:color="auto" w:sz="0" w:space="0"/>
          </w:pgBorders>
          <w:pgNumType w:fmt="numberInDash"/>
          <w:cols w:space="720" w:num="1"/>
          <w:docGrid w:type="lines" w:linePitch="312" w:charSpace="0"/>
        </w:sectPr>
      </w:pPr>
    </w:p>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left"/>
        <w:textAlignment w:val="auto"/>
        <w:outlineLvl w:val="1"/>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lang w:val="en-US" w:eastAsia="zh-CN"/>
        </w:rPr>
        <w:t>附表1</w:t>
      </w:r>
    </w:p>
    <w:p>
      <w:pPr>
        <w:keepNext w:val="0"/>
        <w:keepLines w:val="0"/>
        <w:pageBreakBefore w:val="0"/>
        <w:widowControl w:val="0"/>
        <w:kinsoku/>
        <w:wordWrap/>
        <w:overflowPunct/>
        <w:topLinePunct w:val="0"/>
        <w:autoSpaceDE/>
        <w:autoSpaceDN/>
        <w:bidi w:val="0"/>
        <w:adjustRightInd/>
        <w:snapToGrid/>
        <w:spacing w:beforeLines="0" w:line="700" w:lineRule="exact"/>
        <w:ind w:left="0" w:leftChars="0" w:right="0" w:rightChars="0" w:firstLine="0" w:firstLineChars="0"/>
        <w:jc w:val="center"/>
        <w:textAlignment w:val="auto"/>
        <w:outlineLvl w:val="9"/>
        <w:rPr>
          <w:rFonts w:hint="default" w:ascii="Times New Roman" w:hAnsi="Times New Roman" w:eastAsia="方正小标宋_GBK" w:cs="Times New Roman"/>
          <w:sz w:val="36"/>
          <w:szCs w:val="36"/>
          <w:lang w:eastAsia="zh-CN"/>
        </w:rPr>
      </w:pPr>
      <w:r>
        <w:rPr>
          <w:rFonts w:hint="default" w:ascii="Times New Roman" w:hAnsi="Times New Roman" w:eastAsia="方正小标宋_GBK" w:cs="Times New Roman"/>
          <w:sz w:val="36"/>
          <w:szCs w:val="36"/>
          <w:lang w:eastAsia="zh-CN"/>
        </w:rPr>
        <w:t>自治区发展改革委202</w:t>
      </w:r>
      <w:r>
        <w:rPr>
          <w:rFonts w:hint="default" w:ascii="Times New Roman" w:hAnsi="Times New Roman" w:eastAsia="方正小标宋_GBK" w:cs="Times New Roman"/>
          <w:sz w:val="36"/>
          <w:szCs w:val="36"/>
          <w:lang w:val="en-US" w:eastAsia="zh-CN"/>
        </w:rPr>
        <w:t>1</w:t>
      </w:r>
      <w:r>
        <w:rPr>
          <w:rFonts w:hint="default" w:ascii="Times New Roman" w:hAnsi="Times New Roman" w:eastAsia="方正小标宋_GBK" w:cs="Times New Roman"/>
          <w:sz w:val="36"/>
          <w:szCs w:val="36"/>
          <w:lang w:eastAsia="zh-CN"/>
        </w:rPr>
        <w:t>年全区大气污染防治重点工作任务分工清单</w:t>
      </w:r>
    </w:p>
    <w:p>
      <w:pPr>
        <w:pStyle w:val="2"/>
        <w:keepNext w:val="0"/>
        <w:keepLines w:val="0"/>
        <w:pageBreakBefore w:val="0"/>
        <w:widowControl w:val="0"/>
        <w:kinsoku/>
        <w:wordWrap/>
        <w:overflowPunct/>
        <w:topLinePunct w:val="0"/>
        <w:autoSpaceDE/>
        <w:autoSpaceDN/>
        <w:bidi w:val="0"/>
        <w:adjustRightInd/>
        <w:snapToGrid/>
        <w:spacing w:before="0" w:beforeLines="0" w:line="240" w:lineRule="exact"/>
        <w:ind w:left="0" w:right="0" w:firstLine="601"/>
        <w:textAlignment w:val="auto"/>
        <w:rPr>
          <w:rFonts w:hint="default"/>
          <w:lang w:eastAsia="zh-CN"/>
        </w:rPr>
      </w:pPr>
    </w:p>
    <w:tbl>
      <w:tblPr>
        <w:tblStyle w:val="8"/>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432"/>
        <w:gridCol w:w="6864"/>
        <w:gridCol w:w="1735"/>
        <w:gridCol w:w="1690"/>
        <w:gridCol w:w="1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jc w:val="center"/>
        </w:trPr>
        <w:tc>
          <w:tcPr>
            <w:tcW w:w="960" w:type="dxa"/>
            <w:vAlign w:val="center"/>
          </w:tcPr>
          <w:p>
            <w:pPr>
              <w:keepNext w:val="0"/>
              <w:keepLines w:val="0"/>
              <w:pageBreakBefore w:val="0"/>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序号</w:t>
            </w:r>
          </w:p>
        </w:tc>
        <w:tc>
          <w:tcPr>
            <w:tcW w:w="8296" w:type="dxa"/>
            <w:gridSpan w:val="2"/>
            <w:vAlign w:val="center"/>
          </w:tcPr>
          <w:p>
            <w:pPr>
              <w:keepNext w:val="0"/>
              <w:keepLines w:val="0"/>
              <w:pageBreakBefore w:val="0"/>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重点任务</w:t>
            </w:r>
          </w:p>
        </w:tc>
        <w:tc>
          <w:tcPr>
            <w:tcW w:w="1735" w:type="dxa"/>
            <w:vAlign w:val="center"/>
          </w:tcPr>
          <w:p>
            <w:pPr>
              <w:keepNext w:val="0"/>
              <w:keepLines w:val="0"/>
              <w:pageBreakBefore w:val="0"/>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牵头</w:t>
            </w:r>
          </w:p>
          <w:p>
            <w:pPr>
              <w:keepNext w:val="0"/>
              <w:keepLines w:val="0"/>
              <w:pageBreakBefore w:val="0"/>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单位</w:t>
            </w:r>
          </w:p>
        </w:tc>
        <w:tc>
          <w:tcPr>
            <w:tcW w:w="1690" w:type="dxa"/>
            <w:vAlign w:val="center"/>
          </w:tcPr>
          <w:p>
            <w:pPr>
              <w:keepNext w:val="0"/>
              <w:keepLines w:val="0"/>
              <w:pageBreakBefore w:val="0"/>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参与</w:t>
            </w:r>
          </w:p>
          <w:p>
            <w:pPr>
              <w:keepNext w:val="0"/>
              <w:keepLines w:val="0"/>
              <w:pageBreakBefore w:val="0"/>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单位</w:t>
            </w:r>
          </w:p>
        </w:tc>
        <w:tc>
          <w:tcPr>
            <w:tcW w:w="1493" w:type="dxa"/>
            <w:vAlign w:val="center"/>
          </w:tcPr>
          <w:p>
            <w:pPr>
              <w:keepNext w:val="0"/>
              <w:keepLines w:val="0"/>
              <w:pageBreakBefore w:val="0"/>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责任</w:t>
            </w:r>
            <w:r>
              <w:rPr>
                <w:rFonts w:hint="default" w:ascii="Times New Roman" w:hAnsi="Times New Roman" w:eastAsia="仿宋_GB2312" w:cs="Times New Roman"/>
                <w:sz w:val="21"/>
                <w:szCs w:val="21"/>
              </w:rPr>
              <w:t>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174" w:type="dxa"/>
            <w:gridSpan w:val="6"/>
            <w:vAlign w:val="center"/>
          </w:tcPr>
          <w:p>
            <w:pPr>
              <w:keepNext w:val="0"/>
              <w:keepLines w:val="0"/>
              <w:pageBreakBefore w:val="0"/>
              <w:tabs>
                <w:tab w:val="left" w:pos="1645"/>
              </w:tabs>
              <w:kinsoku/>
              <w:wordWrap/>
              <w:overflowPunct/>
              <w:topLinePunct w:val="0"/>
              <w:autoSpaceDE/>
              <w:autoSpaceDN/>
              <w:bidi w:val="0"/>
              <w:adjustRightInd/>
              <w:snapToGrid/>
              <w:spacing w:beforeLines="0" w:afterLines="0" w:line="320" w:lineRule="exact"/>
              <w:jc w:val="both"/>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b/>
                <w:bCs/>
                <w:sz w:val="21"/>
                <w:szCs w:val="21"/>
                <w:lang w:eastAsia="zh-CN"/>
              </w:rPr>
              <w:t>牵头任务（</w:t>
            </w:r>
            <w:r>
              <w:rPr>
                <w:rFonts w:hint="default" w:ascii="Times New Roman" w:hAnsi="Times New Roman" w:eastAsia="仿宋_GB2312" w:cs="Times New Roman"/>
                <w:b/>
                <w:bCs/>
                <w:sz w:val="21"/>
                <w:szCs w:val="21"/>
                <w:lang w:val="en-US" w:eastAsia="zh-CN"/>
              </w:rPr>
              <w:t>7项</w:t>
            </w:r>
            <w:r>
              <w:rPr>
                <w:rFonts w:hint="default" w:ascii="Times New Roman" w:hAnsi="Times New Roman" w:eastAsia="仿宋_GB2312" w:cs="Times New Roman"/>
                <w:b/>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7" w:hRule="atLeast"/>
          <w:jc w:val="center"/>
        </w:trPr>
        <w:tc>
          <w:tcPr>
            <w:tcW w:w="960" w:type="dxa"/>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1</w:t>
            </w:r>
          </w:p>
        </w:tc>
        <w:tc>
          <w:tcPr>
            <w:tcW w:w="1432" w:type="dxa"/>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严格产业准入</w:t>
            </w:r>
          </w:p>
        </w:tc>
        <w:tc>
          <w:tcPr>
            <w:tcW w:w="6864" w:type="dxa"/>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严格控制高耗能高污染行业新增产能。修订《宁夏工业企业单位产品能耗限额指标》，完善地方节能标准。严格开展工业固定资产投资项目节能审查，严把高耗能项目准入关。严控高耗能、高污染行业新增产能，严格执行钢铁、电解铝、水泥、平板玻璃、电石等耗能行业产能和能耗置换有关规定，实行等量或减量置换。加快自治区“三线一单”落地应用，自治区上收化学原料药、农药、染料等行业项目环评审批权限，从源头管控大气污染物排放。2021年，全区钢铁、电解铝建成产能分别控制在700万吨和120万吨以内。</w:t>
            </w:r>
          </w:p>
        </w:tc>
        <w:tc>
          <w:tcPr>
            <w:tcW w:w="1735" w:type="dxa"/>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自治区工业和信息化厅、发展改革委、生态环境厅、市场监管厅按职责分别负责</w:t>
            </w:r>
          </w:p>
        </w:tc>
        <w:tc>
          <w:tcPr>
            <w:tcW w:w="1690" w:type="dxa"/>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仿宋_GB2312" w:cs="Times New Roman"/>
                <w:color w:val="000000"/>
                <w:kern w:val="0"/>
                <w:sz w:val="21"/>
                <w:szCs w:val="21"/>
              </w:rPr>
            </w:pPr>
          </w:p>
        </w:tc>
        <w:tc>
          <w:tcPr>
            <w:tcW w:w="1493" w:type="dxa"/>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仿宋_GB2312" w:cs="Times New Roman"/>
                <w:color w:val="000000"/>
                <w:kern w:val="0"/>
                <w:sz w:val="21"/>
                <w:szCs w:val="21"/>
                <w:lang w:eastAsia="zh-CN"/>
              </w:rPr>
            </w:pPr>
            <w:r>
              <w:rPr>
                <w:rFonts w:hint="default" w:ascii="Times New Roman" w:hAnsi="Times New Roman" w:eastAsia="仿宋_GB2312" w:cs="Times New Roman"/>
                <w:color w:val="000000"/>
                <w:kern w:val="0"/>
                <w:sz w:val="21"/>
                <w:szCs w:val="21"/>
                <w:lang w:eastAsia="zh-CN"/>
              </w:rPr>
              <w:t>环资处</w:t>
            </w:r>
          </w:p>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仿宋_GB2312" w:cs="Times New Roman"/>
                <w:color w:val="000000"/>
                <w:kern w:val="0"/>
                <w:sz w:val="21"/>
                <w:szCs w:val="21"/>
                <w:lang w:eastAsia="zh-CN"/>
              </w:rPr>
            </w:pPr>
            <w:r>
              <w:rPr>
                <w:rFonts w:hint="default" w:ascii="Times New Roman" w:hAnsi="Times New Roman" w:eastAsia="仿宋_GB2312" w:cs="Times New Roman"/>
                <w:color w:val="000000"/>
                <w:kern w:val="0"/>
                <w:sz w:val="21"/>
                <w:szCs w:val="21"/>
                <w:lang w:eastAsia="zh-CN"/>
              </w:rPr>
              <w:t>产业处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60" w:type="dxa"/>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2</w:t>
            </w:r>
          </w:p>
        </w:tc>
        <w:tc>
          <w:tcPr>
            <w:tcW w:w="1432" w:type="dxa"/>
            <w:vMerge w:val="restart"/>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降低煤炭消费比重</w:t>
            </w:r>
          </w:p>
        </w:tc>
        <w:tc>
          <w:tcPr>
            <w:tcW w:w="6864" w:type="dxa"/>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kern w:val="0"/>
                <w:sz w:val="21"/>
                <w:szCs w:val="21"/>
              </w:rPr>
              <w:t>严格控制煤炭消费，严控新上高耗煤项目，加快煤炭清洁高效利用，从严控制燃煤电厂用煤，切实降低煤炭消费比重，2021年全区单位GDP煤耗下降3%左右。</w:t>
            </w:r>
          </w:p>
        </w:tc>
        <w:tc>
          <w:tcPr>
            <w:tcW w:w="1735" w:type="dxa"/>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自治区发展改革委</w:t>
            </w:r>
          </w:p>
        </w:tc>
        <w:tc>
          <w:tcPr>
            <w:tcW w:w="1690" w:type="dxa"/>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自治区生态环境厅、住房城乡建设厅、工业和信息化厅</w:t>
            </w:r>
          </w:p>
        </w:tc>
        <w:tc>
          <w:tcPr>
            <w:tcW w:w="1493" w:type="dxa"/>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仿宋_GB2312" w:cs="Times New Roman"/>
                <w:color w:val="000000"/>
                <w:kern w:val="0"/>
                <w:sz w:val="21"/>
                <w:szCs w:val="21"/>
                <w:lang w:eastAsia="zh-CN"/>
              </w:rPr>
            </w:pPr>
            <w:r>
              <w:rPr>
                <w:rFonts w:hint="default" w:ascii="Times New Roman" w:hAnsi="Times New Roman" w:eastAsia="仿宋_GB2312" w:cs="Times New Roman"/>
                <w:color w:val="000000"/>
                <w:kern w:val="0"/>
                <w:sz w:val="21"/>
                <w:szCs w:val="21"/>
                <w:lang w:eastAsia="zh-CN"/>
              </w:rPr>
              <w:t>环资处</w:t>
            </w:r>
          </w:p>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仿宋_GB2312" w:cs="Times New Roman"/>
                <w:color w:val="000000"/>
                <w:kern w:val="0"/>
                <w:sz w:val="21"/>
                <w:szCs w:val="21"/>
                <w:lang w:eastAsia="zh-CN"/>
              </w:rPr>
            </w:pPr>
            <w:r>
              <w:rPr>
                <w:rFonts w:hint="default" w:ascii="Times New Roman" w:hAnsi="Times New Roman" w:eastAsia="仿宋_GB2312" w:cs="Times New Roman"/>
                <w:color w:val="000000"/>
                <w:kern w:val="0"/>
                <w:sz w:val="21"/>
                <w:szCs w:val="21"/>
                <w:lang w:eastAsia="zh-CN"/>
              </w:rPr>
              <w:t>能源管理处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7" w:hRule="atLeast"/>
          <w:jc w:val="center"/>
        </w:trPr>
        <w:tc>
          <w:tcPr>
            <w:tcW w:w="960" w:type="dxa"/>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3</w:t>
            </w:r>
          </w:p>
        </w:tc>
        <w:tc>
          <w:tcPr>
            <w:tcW w:w="1432" w:type="dxa"/>
            <w:vMerge w:val="continue"/>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仿宋_GB2312" w:cs="Times New Roman"/>
                <w:color w:val="000000"/>
                <w:kern w:val="0"/>
                <w:sz w:val="21"/>
                <w:szCs w:val="21"/>
              </w:rPr>
            </w:pPr>
          </w:p>
        </w:tc>
        <w:tc>
          <w:tcPr>
            <w:tcW w:w="6864" w:type="dxa"/>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加快发展清洁能源。切实降低燃煤消费，提高非化石能源消费比重。2021年，全区非化石能源消费总量占一次能源消费比重保持在10%左右，电量占全社会用电量的比重提高到23.7%，优化风能、太阳能开发，全区风电装机规模达到1420万千瓦以上，争取光伏发电规模达到1360万千瓦以上。推进垃圾发电、生物质直燃发电、生物质沼气发电等多种形式的综合应用，力争生物质发电装机达到13万千瓦。</w:t>
            </w:r>
          </w:p>
        </w:tc>
        <w:tc>
          <w:tcPr>
            <w:tcW w:w="1735" w:type="dxa"/>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自治区发展改革委</w:t>
            </w:r>
          </w:p>
        </w:tc>
        <w:tc>
          <w:tcPr>
            <w:tcW w:w="1690" w:type="dxa"/>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自治区财政厅、国网宁夏电力公司</w:t>
            </w:r>
          </w:p>
        </w:tc>
        <w:tc>
          <w:tcPr>
            <w:tcW w:w="1493" w:type="dxa"/>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val="en-US" w:eastAsia="zh-CN"/>
              </w:rPr>
              <w:t>能源发展处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8" w:hRule="atLeast"/>
          <w:jc w:val="center"/>
        </w:trPr>
        <w:tc>
          <w:tcPr>
            <w:tcW w:w="960" w:type="dxa"/>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val="en-US" w:eastAsia="zh-CN"/>
              </w:rPr>
              <w:t>4</w:t>
            </w:r>
          </w:p>
        </w:tc>
        <w:tc>
          <w:tcPr>
            <w:tcW w:w="1432" w:type="dxa"/>
            <w:vMerge w:val="restart"/>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深入推进清洁取暖</w:t>
            </w:r>
          </w:p>
        </w:tc>
        <w:tc>
          <w:tcPr>
            <w:tcW w:w="6864" w:type="dxa"/>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kern w:val="0"/>
                <w:sz w:val="21"/>
                <w:szCs w:val="21"/>
              </w:rPr>
              <w:t>坚持从实际出发，宜电则电、宜气则气、宜煤则煤、宜热则热，确保全区群众安全取暖过冬。自治区发展改革委会同住房城乡建设厅制定《2021年度清洁取暖工作计划》，明确各市集中供热改造计划，在集中供热管网确实无法覆盖的区域，实施一批县级农村地区清洁取暖改造工程。贺兰县要在2021年10月底完成贺兰县城镇集中供热项目主体建设。2021年底前，中宁县要建成投运热电联产集中供热项目，实现城市建成区现有供热燃煤锅炉全部关停（淘汰或转为备用）。</w:t>
            </w:r>
          </w:p>
        </w:tc>
        <w:tc>
          <w:tcPr>
            <w:tcW w:w="1735" w:type="dxa"/>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自治区发展改革委、住房城乡建设厅按照职责分别负责</w:t>
            </w:r>
          </w:p>
        </w:tc>
        <w:tc>
          <w:tcPr>
            <w:tcW w:w="1690" w:type="dxa"/>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自治区财政厅、生态环境厅</w:t>
            </w:r>
          </w:p>
        </w:tc>
        <w:tc>
          <w:tcPr>
            <w:tcW w:w="1493" w:type="dxa"/>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仿宋_GB2312" w:cs="Times New Roman"/>
                <w:color w:val="000000"/>
                <w:kern w:val="0"/>
                <w:sz w:val="21"/>
                <w:szCs w:val="21"/>
                <w:lang w:eastAsia="zh-CN"/>
              </w:rPr>
            </w:pPr>
            <w:r>
              <w:rPr>
                <w:rFonts w:hint="default" w:ascii="Times New Roman" w:hAnsi="Times New Roman" w:eastAsia="仿宋_GB2312" w:cs="Times New Roman"/>
                <w:color w:val="000000"/>
                <w:kern w:val="0"/>
                <w:sz w:val="21"/>
                <w:szCs w:val="21"/>
                <w:lang w:eastAsia="zh-CN"/>
              </w:rPr>
              <w:t>能源发展处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8" w:hRule="atLeast"/>
          <w:jc w:val="center"/>
        </w:trPr>
        <w:tc>
          <w:tcPr>
            <w:tcW w:w="960" w:type="dxa"/>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val="en-US" w:eastAsia="zh-CN"/>
              </w:rPr>
              <w:t>5</w:t>
            </w:r>
          </w:p>
        </w:tc>
        <w:tc>
          <w:tcPr>
            <w:tcW w:w="1432" w:type="dxa"/>
            <w:vMerge w:val="continue"/>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仿宋_GB2312" w:cs="Times New Roman"/>
                <w:color w:val="000000"/>
                <w:kern w:val="0"/>
                <w:sz w:val="21"/>
                <w:szCs w:val="21"/>
              </w:rPr>
            </w:pPr>
          </w:p>
        </w:tc>
        <w:tc>
          <w:tcPr>
            <w:tcW w:w="6864" w:type="dxa"/>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kern w:val="0"/>
                <w:sz w:val="21"/>
                <w:szCs w:val="21"/>
              </w:rPr>
              <w:t>根据国家相关政策制定进一步完善清洁取暖价格支持政策，进一步降低用户电代煤、气代煤使用成本。加快农村“煤改电”电网升级改造，电网企业要统筹推进输变电工程建设，满足居民采暖用电需求。地方政府要统筹协调“煤改气”“煤改电”建设用地。</w:t>
            </w:r>
          </w:p>
        </w:tc>
        <w:tc>
          <w:tcPr>
            <w:tcW w:w="1735" w:type="dxa"/>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自治区发展改革委、国网宁夏电力公司按职责分别负责</w:t>
            </w:r>
          </w:p>
        </w:tc>
        <w:tc>
          <w:tcPr>
            <w:tcW w:w="1690" w:type="dxa"/>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自治区财政厅、生态环境厅、住房城乡建设厅、自然资源厅</w:t>
            </w:r>
          </w:p>
        </w:tc>
        <w:tc>
          <w:tcPr>
            <w:tcW w:w="1493" w:type="dxa"/>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仿宋_GB2312" w:cs="Times New Roman"/>
                <w:color w:val="000000"/>
                <w:kern w:val="0"/>
                <w:sz w:val="21"/>
                <w:szCs w:val="21"/>
                <w:lang w:eastAsia="zh-CN"/>
              </w:rPr>
            </w:pPr>
            <w:r>
              <w:rPr>
                <w:rFonts w:hint="default" w:ascii="Times New Roman" w:hAnsi="Times New Roman" w:eastAsia="仿宋_GB2312" w:cs="Times New Roman"/>
                <w:color w:val="000000"/>
                <w:kern w:val="0"/>
                <w:sz w:val="21"/>
                <w:szCs w:val="21"/>
                <w:lang w:eastAsia="zh-CN"/>
              </w:rPr>
              <w:t>价管处</w:t>
            </w:r>
          </w:p>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仿宋_GB2312" w:cs="Times New Roman"/>
                <w:color w:val="000000"/>
                <w:kern w:val="0"/>
                <w:sz w:val="21"/>
                <w:szCs w:val="21"/>
                <w:lang w:eastAsia="zh-CN"/>
              </w:rPr>
            </w:pPr>
            <w:r>
              <w:rPr>
                <w:rFonts w:hint="default" w:ascii="Times New Roman" w:hAnsi="Times New Roman" w:eastAsia="仿宋_GB2312" w:cs="Times New Roman"/>
                <w:color w:val="000000"/>
                <w:kern w:val="0"/>
                <w:sz w:val="21"/>
                <w:szCs w:val="21"/>
                <w:lang w:eastAsia="zh-CN"/>
              </w:rPr>
              <w:t>能源发展处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4" w:hRule="atLeast"/>
          <w:jc w:val="center"/>
        </w:trPr>
        <w:tc>
          <w:tcPr>
            <w:tcW w:w="960" w:type="dxa"/>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val="en-US" w:eastAsia="zh-CN"/>
              </w:rPr>
              <w:t>6</w:t>
            </w:r>
          </w:p>
        </w:tc>
        <w:tc>
          <w:tcPr>
            <w:tcW w:w="1432" w:type="dxa"/>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切实提高能源利用效率</w:t>
            </w:r>
          </w:p>
        </w:tc>
        <w:tc>
          <w:tcPr>
            <w:tcW w:w="6864" w:type="dxa"/>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严格实施能源消费总量和强度“双控”制度，持续深化工业、建筑、交通领域绿色低碳行动，加快重点行业和新兴领域节能改造升级，着力提升能效水平。持续实施65%建筑节能标准，全面执行绿色建筑标准，加快既有居住建筑节能改造。2021年，新建建筑设计阶段绿色建筑设计标准执行率达到65%，累计改造面积占城镇既有非节能居住建筑比例达到70%。</w:t>
            </w:r>
          </w:p>
        </w:tc>
        <w:tc>
          <w:tcPr>
            <w:tcW w:w="1735" w:type="dxa"/>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自治区发展改革委、住房城乡建设厅按职责分别负责</w:t>
            </w:r>
          </w:p>
        </w:tc>
        <w:tc>
          <w:tcPr>
            <w:tcW w:w="1690" w:type="dxa"/>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自治区市场监管厅</w:t>
            </w:r>
          </w:p>
        </w:tc>
        <w:tc>
          <w:tcPr>
            <w:tcW w:w="1493" w:type="dxa"/>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仿宋_GB2312" w:cs="Times New Roman"/>
                <w:color w:val="000000"/>
                <w:kern w:val="0"/>
                <w:sz w:val="21"/>
                <w:szCs w:val="21"/>
                <w:lang w:eastAsia="zh-CN"/>
              </w:rPr>
            </w:pPr>
            <w:r>
              <w:rPr>
                <w:rFonts w:hint="default" w:ascii="Times New Roman" w:hAnsi="Times New Roman" w:eastAsia="仿宋_GB2312" w:cs="Times New Roman"/>
                <w:color w:val="000000"/>
                <w:kern w:val="0"/>
                <w:sz w:val="21"/>
                <w:szCs w:val="21"/>
                <w:lang w:eastAsia="zh-CN"/>
              </w:rPr>
              <w:t>环资处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7" w:hRule="atLeast"/>
          <w:jc w:val="center"/>
        </w:trPr>
        <w:tc>
          <w:tcPr>
            <w:tcW w:w="960" w:type="dxa"/>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val="en-US" w:eastAsia="zh-CN"/>
              </w:rPr>
              <w:t>7</w:t>
            </w:r>
          </w:p>
        </w:tc>
        <w:tc>
          <w:tcPr>
            <w:tcW w:w="1432" w:type="dxa"/>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eastAsia="zh-CN"/>
              </w:rPr>
              <w:t>加快绿色交通体系建设</w:t>
            </w:r>
          </w:p>
        </w:tc>
        <w:tc>
          <w:tcPr>
            <w:tcW w:w="6864" w:type="dxa"/>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eastAsia="zh-CN"/>
              </w:rPr>
              <w:t>持续推进新能源交通体系建设。扩大新能源车辆使用范围，加大新能源汽车保有量，逐步完善公共停车场、居民区等区域新能源汽车配套设施建设。</w:t>
            </w:r>
          </w:p>
        </w:tc>
        <w:tc>
          <w:tcPr>
            <w:tcW w:w="1735" w:type="dxa"/>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eastAsia="zh-CN"/>
              </w:rPr>
              <w:t>自治区交通运输厅、发展改革委按照职责分别负责</w:t>
            </w:r>
          </w:p>
        </w:tc>
        <w:tc>
          <w:tcPr>
            <w:tcW w:w="1690" w:type="dxa"/>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eastAsia="zh-CN"/>
              </w:rPr>
              <w:t>自治区财政厅、国网宁夏电力公司</w:t>
            </w:r>
          </w:p>
        </w:tc>
        <w:tc>
          <w:tcPr>
            <w:tcW w:w="1493" w:type="dxa"/>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仿宋_GB2312" w:cs="Times New Roman"/>
                <w:color w:val="000000"/>
                <w:kern w:val="0"/>
                <w:sz w:val="21"/>
                <w:szCs w:val="21"/>
                <w:lang w:eastAsia="zh-CN"/>
              </w:rPr>
            </w:pPr>
            <w:r>
              <w:rPr>
                <w:rFonts w:hint="default" w:ascii="Times New Roman" w:hAnsi="Times New Roman" w:eastAsia="仿宋_GB2312" w:cs="Times New Roman"/>
                <w:color w:val="000000"/>
                <w:kern w:val="0"/>
                <w:sz w:val="21"/>
                <w:szCs w:val="21"/>
                <w:lang w:eastAsia="zh-CN"/>
              </w:rPr>
              <w:t>能源发展处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14174" w:type="dxa"/>
            <w:gridSpan w:val="6"/>
            <w:vAlign w:val="center"/>
          </w:tcPr>
          <w:p>
            <w:pPr>
              <w:keepNext w:val="0"/>
              <w:keepLines w:val="0"/>
              <w:pageBreakBefore w:val="0"/>
              <w:widowControl/>
              <w:tabs>
                <w:tab w:val="left" w:pos="3673"/>
              </w:tabs>
              <w:kinsoku/>
              <w:wordWrap/>
              <w:overflowPunct/>
              <w:topLinePunct w:val="0"/>
              <w:autoSpaceDE/>
              <w:autoSpaceDN/>
              <w:bidi w:val="0"/>
              <w:adjustRightInd/>
              <w:snapToGrid/>
              <w:spacing w:beforeLines="0" w:afterLines="0" w:line="320" w:lineRule="exact"/>
              <w:jc w:val="left"/>
              <w:textAlignment w:val="auto"/>
              <w:rPr>
                <w:rFonts w:hint="default" w:ascii="Times New Roman" w:hAnsi="Times New Roman" w:eastAsia="仿宋_GB2312" w:cs="Times New Roman"/>
                <w:color w:val="000000"/>
                <w:kern w:val="0"/>
                <w:sz w:val="21"/>
                <w:szCs w:val="21"/>
                <w:lang w:eastAsia="zh-CN"/>
              </w:rPr>
            </w:pPr>
            <w:r>
              <w:rPr>
                <w:rFonts w:hint="default" w:ascii="Times New Roman" w:hAnsi="Times New Roman" w:eastAsia="仿宋_GB2312" w:cs="Times New Roman"/>
                <w:b/>
                <w:bCs/>
                <w:sz w:val="21"/>
                <w:szCs w:val="21"/>
                <w:lang w:eastAsia="zh-CN"/>
              </w:rPr>
              <w:t>配合任务（</w:t>
            </w:r>
            <w:r>
              <w:rPr>
                <w:rFonts w:hint="default" w:ascii="Times New Roman" w:hAnsi="Times New Roman" w:eastAsia="仿宋_GB2312" w:cs="Times New Roman"/>
                <w:b/>
                <w:bCs/>
                <w:sz w:val="21"/>
                <w:szCs w:val="21"/>
                <w:lang w:val="en-US" w:eastAsia="zh-CN"/>
              </w:rPr>
              <w:t>7项</w:t>
            </w:r>
            <w:r>
              <w:rPr>
                <w:rFonts w:hint="default" w:ascii="Times New Roman" w:hAnsi="Times New Roman" w:eastAsia="仿宋_GB2312" w:cs="Times New Roman"/>
                <w:b/>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5" w:hRule="atLeast"/>
          <w:jc w:val="center"/>
        </w:trPr>
        <w:tc>
          <w:tcPr>
            <w:tcW w:w="960" w:type="dxa"/>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val="en-US" w:eastAsia="zh-CN"/>
              </w:rPr>
              <w:t>1</w:t>
            </w:r>
          </w:p>
        </w:tc>
        <w:tc>
          <w:tcPr>
            <w:tcW w:w="1432" w:type="dxa"/>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eastAsia="zh-CN"/>
              </w:rPr>
              <w:t>推动工业绿色改造</w:t>
            </w:r>
          </w:p>
        </w:tc>
        <w:tc>
          <w:tcPr>
            <w:tcW w:w="6864" w:type="dxa"/>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color w:val="000000"/>
                <w:kern w:val="0"/>
                <w:sz w:val="21"/>
                <w:szCs w:val="21"/>
                <w:lang w:eastAsia="zh-CN"/>
              </w:rPr>
              <w:t>打好工业转型发展攻坚战。全面落实《关于实施“四大改造”打好工业转型发展攻坚战的实施方案》，完成自治区《推动工业绿色改造三年行动计划》年度任务。2021年，规上工业企业单位增加值能耗比2020年下降2%。累计创建70家绿色工厂、10个绿色园区。在化工、冶金、建材、纺织、装备制造等重点领域，开展绿色工厂创建。通过采用绿色建筑技术建设厂房，合理布局厂区内能量流、物质流路径，采用先进适用的清洁生产工艺和高效末端治理装备，推动用能结构优化，实现企业绿色发展。</w:t>
            </w:r>
          </w:p>
        </w:tc>
        <w:tc>
          <w:tcPr>
            <w:tcW w:w="1735" w:type="dxa"/>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eastAsia="zh-CN"/>
              </w:rPr>
              <w:t>自治区工业和信息化厅</w:t>
            </w:r>
          </w:p>
        </w:tc>
        <w:tc>
          <w:tcPr>
            <w:tcW w:w="1690" w:type="dxa"/>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eastAsia="zh-CN"/>
              </w:rPr>
              <w:t>自治区发展改革委、科技厅、生态环境厅</w:t>
            </w:r>
          </w:p>
        </w:tc>
        <w:tc>
          <w:tcPr>
            <w:tcW w:w="1493" w:type="dxa"/>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仿宋_GB2312" w:cs="Times New Roman"/>
                <w:color w:val="000000"/>
                <w:kern w:val="0"/>
                <w:sz w:val="21"/>
                <w:szCs w:val="21"/>
                <w:lang w:eastAsia="zh-CN"/>
              </w:rPr>
            </w:pPr>
            <w:r>
              <w:rPr>
                <w:rFonts w:hint="default" w:ascii="Times New Roman" w:hAnsi="Times New Roman" w:eastAsia="仿宋_GB2312" w:cs="Times New Roman"/>
                <w:color w:val="000000"/>
                <w:kern w:val="0"/>
                <w:sz w:val="21"/>
                <w:szCs w:val="21"/>
                <w:lang w:eastAsia="zh-CN"/>
              </w:rPr>
              <w:t>环资处</w:t>
            </w:r>
          </w:p>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仿宋_GB2312" w:cs="Times New Roman"/>
                <w:color w:val="000000"/>
                <w:kern w:val="0"/>
                <w:sz w:val="21"/>
                <w:szCs w:val="21"/>
                <w:lang w:eastAsia="zh-CN"/>
              </w:rPr>
            </w:pPr>
            <w:r>
              <w:rPr>
                <w:rFonts w:hint="default" w:ascii="Times New Roman" w:hAnsi="Times New Roman" w:eastAsia="仿宋_GB2312" w:cs="Times New Roman"/>
                <w:color w:val="000000"/>
                <w:kern w:val="0"/>
                <w:sz w:val="21"/>
                <w:szCs w:val="21"/>
                <w:lang w:eastAsia="zh-CN"/>
              </w:rPr>
              <w:t>产业处</w:t>
            </w:r>
          </w:p>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仿宋_GB2312" w:cs="Times New Roman"/>
                <w:color w:val="000000"/>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3" w:hRule="atLeast"/>
          <w:jc w:val="center"/>
        </w:trPr>
        <w:tc>
          <w:tcPr>
            <w:tcW w:w="960" w:type="dxa"/>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val="en-US" w:eastAsia="zh-CN"/>
              </w:rPr>
              <w:t>2</w:t>
            </w:r>
          </w:p>
        </w:tc>
        <w:tc>
          <w:tcPr>
            <w:tcW w:w="1432" w:type="dxa"/>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eastAsia="zh-CN"/>
              </w:rPr>
              <w:t>持续推进淘汰落后和化解过剩产能工作</w:t>
            </w:r>
          </w:p>
        </w:tc>
        <w:tc>
          <w:tcPr>
            <w:tcW w:w="6864" w:type="dxa"/>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color w:val="000000"/>
                <w:kern w:val="0"/>
                <w:sz w:val="21"/>
                <w:szCs w:val="21"/>
                <w:lang w:eastAsia="zh-CN"/>
              </w:rPr>
              <w:t>综合运用环保、能耗、安全、质量等法规标准，倒逼落后产能退出，持续淘汰低端低效设备。支持高耗能企业联合重组、上大压小。加大奖补力度，鼓励铁合金、活性炭等行业低端低效产能主动退出。化解钢铁、煤炭、煤电行业过剩产能，查处地条钢违法违规生产行为。</w:t>
            </w:r>
          </w:p>
        </w:tc>
        <w:tc>
          <w:tcPr>
            <w:tcW w:w="1735" w:type="dxa"/>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eastAsia="zh-CN"/>
              </w:rPr>
              <w:t>自治区工业和信息化厅</w:t>
            </w:r>
          </w:p>
        </w:tc>
        <w:tc>
          <w:tcPr>
            <w:tcW w:w="1690" w:type="dxa"/>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both"/>
              <w:textAlignment w:val="auto"/>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eastAsia="zh-CN"/>
              </w:rPr>
              <w:t>自治区发展改革委、生态环境厅、财政厅、市场监管厅</w:t>
            </w:r>
          </w:p>
        </w:tc>
        <w:tc>
          <w:tcPr>
            <w:tcW w:w="1493" w:type="dxa"/>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仿宋_GB2312" w:cs="Times New Roman"/>
                <w:color w:val="000000"/>
                <w:kern w:val="0"/>
                <w:sz w:val="21"/>
                <w:szCs w:val="21"/>
                <w:lang w:eastAsia="zh-CN"/>
              </w:rPr>
            </w:pPr>
            <w:r>
              <w:rPr>
                <w:rFonts w:hint="default" w:ascii="Times New Roman" w:hAnsi="Times New Roman" w:eastAsia="仿宋_GB2312" w:cs="Times New Roman"/>
                <w:color w:val="000000"/>
                <w:kern w:val="0"/>
                <w:sz w:val="21"/>
                <w:szCs w:val="21"/>
                <w:lang w:eastAsia="zh-CN"/>
              </w:rPr>
              <w:t>产业处</w:t>
            </w:r>
          </w:p>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仿宋_GB2312" w:cs="Times New Roman"/>
                <w:color w:val="000000"/>
                <w:kern w:val="0"/>
                <w:sz w:val="21"/>
                <w:szCs w:val="21"/>
                <w:lang w:eastAsia="zh-CN"/>
              </w:rPr>
            </w:pPr>
            <w:r>
              <w:rPr>
                <w:rFonts w:hint="default" w:ascii="Times New Roman" w:hAnsi="Times New Roman" w:eastAsia="仿宋_GB2312" w:cs="Times New Roman"/>
                <w:color w:val="000000"/>
                <w:kern w:val="0"/>
                <w:sz w:val="21"/>
                <w:szCs w:val="21"/>
                <w:lang w:eastAsia="zh-CN"/>
              </w:rPr>
              <w:t>能源管理处</w:t>
            </w:r>
          </w:p>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仿宋_GB2312" w:cs="Times New Roman"/>
                <w:color w:val="000000"/>
                <w:kern w:val="0"/>
                <w:sz w:val="21"/>
                <w:szCs w:val="21"/>
                <w:lang w:eastAsia="zh-CN"/>
              </w:rPr>
            </w:pPr>
            <w:r>
              <w:rPr>
                <w:rFonts w:hint="default" w:ascii="Times New Roman" w:hAnsi="Times New Roman" w:eastAsia="仿宋_GB2312" w:cs="Times New Roman"/>
                <w:color w:val="000000"/>
                <w:kern w:val="0"/>
                <w:sz w:val="21"/>
                <w:szCs w:val="21"/>
                <w:lang w:eastAsia="zh-CN"/>
              </w:rPr>
              <w:t>能源发展处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7" w:hRule="atLeast"/>
          <w:jc w:val="center"/>
        </w:trPr>
        <w:tc>
          <w:tcPr>
            <w:tcW w:w="960" w:type="dxa"/>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val="en-US" w:eastAsia="zh-CN"/>
              </w:rPr>
              <w:t>3</w:t>
            </w:r>
          </w:p>
        </w:tc>
        <w:tc>
          <w:tcPr>
            <w:tcW w:w="1432" w:type="dxa"/>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eastAsia="zh-CN"/>
              </w:rPr>
              <w:t>强化燃煤锅炉整治</w:t>
            </w:r>
          </w:p>
        </w:tc>
        <w:tc>
          <w:tcPr>
            <w:tcW w:w="6864" w:type="dxa"/>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color w:val="000000"/>
                <w:kern w:val="0"/>
                <w:sz w:val="21"/>
                <w:szCs w:val="21"/>
                <w:lang w:eastAsia="zh-CN"/>
              </w:rPr>
              <w:t>落实《关于加强锅炉节能环保工作的通知》要求，县级及以上城市建成区一律禁止新建35蒸吨/小时（包含35蒸吨/小时）以下燃煤锅炉，其他地区一律不再新建10蒸吨/小时（包含10蒸吨/小时）以下的燃煤锅炉。各地级市建成区基本淘汰35蒸吨/小时以下燃煤锅炉（应急备用、调峰锅炉除外）。</w:t>
            </w:r>
          </w:p>
        </w:tc>
        <w:tc>
          <w:tcPr>
            <w:tcW w:w="1735" w:type="dxa"/>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eastAsia="zh-CN"/>
              </w:rPr>
              <w:t>自治区生态环境厅、住房城乡建设厅按职责分别负责</w:t>
            </w:r>
          </w:p>
        </w:tc>
        <w:tc>
          <w:tcPr>
            <w:tcW w:w="1690" w:type="dxa"/>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eastAsia="zh-CN"/>
              </w:rPr>
              <w:t>市场监管厅、自治区工业和信息化厅、发展改革委</w:t>
            </w:r>
          </w:p>
        </w:tc>
        <w:tc>
          <w:tcPr>
            <w:tcW w:w="1493" w:type="dxa"/>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仿宋_GB2312" w:cs="Times New Roman"/>
                <w:color w:val="000000"/>
                <w:kern w:val="0"/>
                <w:sz w:val="21"/>
                <w:szCs w:val="21"/>
                <w:lang w:eastAsia="zh-CN"/>
              </w:rPr>
            </w:pPr>
            <w:r>
              <w:rPr>
                <w:rFonts w:hint="default" w:ascii="Times New Roman" w:hAnsi="Times New Roman" w:eastAsia="仿宋_GB2312" w:cs="Times New Roman"/>
                <w:color w:val="000000"/>
                <w:kern w:val="0"/>
                <w:sz w:val="21"/>
                <w:szCs w:val="21"/>
                <w:lang w:eastAsia="zh-CN"/>
              </w:rPr>
              <w:t>环资处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6" w:hRule="atLeast"/>
          <w:jc w:val="center"/>
        </w:trPr>
        <w:tc>
          <w:tcPr>
            <w:tcW w:w="960" w:type="dxa"/>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val="en-US" w:eastAsia="zh-CN"/>
              </w:rPr>
              <w:t>4</w:t>
            </w:r>
          </w:p>
        </w:tc>
        <w:tc>
          <w:tcPr>
            <w:tcW w:w="1432" w:type="dxa"/>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eastAsia="zh-CN"/>
              </w:rPr>
              <w:t>全面加强秸秆和氨排放管控</w:t>
            </w:r>
          </w:p>
        </w:tc>
        <w:tc>
          <w:tcPr>
            <w:tcW w:w="6864" w:type="dxa"/>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both"/>
              <w:textAlignment w:val="auto"/>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eastAsia="zh-CN"/>
              </w:rPr>
              <w:t>制定年度农作物秸秆综合利用项目实施方案，坚持堵疏结合，加大政策支持力度，全面加强秸秆综合利用。2021年，全区秸秆综合利用率达到88%。</w:t>
            </w:r>
          </w:p>
        </w:tc>
        <w:tc>
          <w:tcPr>
            <w:tcW w:w="1735" w:type="dxa"/>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both"/>
              <w:textAlignment w:val="auto"/>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eastAsia="zh-CN"/>
              </w:rPr>
              <w:t>自治区农业农村厅</w:t>
            </w:r>
          </w:p>
        </w:tc>
        <w:tc>
          <w:tcPr>
            <w:tcW w:w="1690" w:type="dxa"/>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eastAsia="zh-CN"/>
              </w:rPr>
              <w:t>自治区发展改革委、生态环境厅、财政厅</w:t>
            </w:r>
          </w:p>
        </w:tc>
        <w:tc>
          <w:tcPr>
            <w:tcW w:w="1493" w:type="dxa"/>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仿宋_GB2312" w:cs="Times New Roman"/>
                <w:color w:val="000000"/>
                <w:kern w:val="0"/>
                <w:sz w:val="21"/>
                <w:szCs w:val="21"/>
                <w:lang w:eastAsia="zh-CN"/>
              </w:rPr>
            </w:pPr>
            <w:r>
              <w:rPr>
                <w:rFonts w:hint="default" w:ascii="Times New Roman" w:hAnsi="Times New Roman" w:eastAsia="仿宋_GB2312" w:cs="Times New Roman"/>
                <w:color w:val="000000"/>
                <w:kern w:val="0"/>
                <w:sz w:val="21"/>
                <w:szCs w:val="21"/>
                <w:lang w:eastAsia="zh-CN"/>
              </w:rPr>
              <w:t>环资处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7" w:hRule="atLeast"/>
          <w:jc w:val="center"/>
        </w:trPr>
        <w:tc>
          <w:tcPr>
            <w:tcW w:w="960" w:type="dxa"/>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val="en-US" w:eastAsia="zh-CN"/>
              </w:rPr>
              <w:t>5</w:t>
            </w:r>
          </w:p>
        </w:tc>
        <w:tc>
          <w:tcPr>
            <w:tcW w:w="1432" w:type="dxa"/>
            <w:vMerge w:val="restart"/>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eastAsia="zh-CN"/>
              </w:rPr>
              <w:t>强化VOCs和NOx协同减排，促进环境治理提质增效</w:t>
            </w:r>
          </w:p>
        </w:tc>
        <w:tc>
          <w:tcPr>
            <w:tcW w:w="6864" w:type="dxa"/>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both"/>
              <w:textAlignment w:val="auto"/>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eastAsia="zh-CN"/>
              </w:rPr>
              <w:t>落实《自治区水泥行业超低排放改造计划方案》，2021年底前，完成10条水泥熟料生产线超低排放改造。继续推进《自治区钢铁行业超低排放改造实施方案》加强工业企业无组织排放治理。深化工业炉窑污染综合治理，对工业炉窑污染治理清单进行动态更新，强化监管力度。深化挥发性有机物污染综合治理，开展VOCs整治专项执法行动，核查企业泄漏检测与修复（LDAR）运行情况。修订VOCs重点监管企业名单，继续推含底VOCs原辅材料和产品源头替代，进一步加大石油化工、现代煤化工、制药工业、包装印刷等重点行业企业VOCs治理力度，制定“一厂一策”方案，实现精准治污。</w:t>
            </w:r>
          </w:p>
        </w:tc>
        <w:tc>
          <w:tcPr>
            <w:tcW w:w="1735" w:type="dxa"/>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eastAsia="zh-CN"/>
              </w:rPr>
              <w:t>自治区生态环境厅</w:t>
            </w:r>
          </w:p>
        </w:tc>
        <w:tc>
          <w:tcPr>
            <w:tcW w:w="1690" w:type="dxa"/>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eastAsia="zh-CN"/>
              </w:rPr>
              <w:t>自治区发展改革委、工业和信息化厅、市场监管厅、商务厅</w:t>
            </w:r>
          </w:p>
        </w:tc>
        <w:tc>
          <w:tcPr>
            <w:tcW w:w="1493" w:type="dxa"/>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仿宋_GB2312" w:cs="Times New Roman"/>
                <w:color w:val="000000"/>
                <w:kern w:val="0"/>
                <w:sz w:val="21"/>
                <w:szCs w:val="21"/>
                <w:lang w:eastAsia="zh-CN"/>
              </w:rPr>
            </w:pPr>
            <w:r>
              <w:rPr>
                <w:rFonts w:hint="default" w:ascii="Times New Roman" w:hAnsi="Times New Roman" w:eastAsia="仿宋_GB2312" w:cs="Times New Roman"/>
                <w:color w:val="000000"/>
                <w:kern w:val="0"/>
                <w:sz w:val="21"/>
                <w:szCs w:val="21"/>
                <w:lang w:eastAsia="zh-CN"/>
              </w:rPr>
              <w:t>环资处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jc w:val="center"/>
        </w:trPr>
        <w:tc>
          <w:tcPr>
            <w:tcW w:w="960" w:type="dxa"/>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val="en-US" w:eastAsia="zh-CN"/>
              </w:rPr>
              <w:t>6</w:t>
            </w:r>
          </w:p>
        </w:tc>
        <w:tc>
          <w:tcPr>
            <w:tcW w:w="1432" w:type="dxa"/>
            <w:vMerge w:val="continue"/>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仿宋_GB2312" w:cs="Times New Roman"/>
                <w:color w:val="000000"/>
                <w:kern w:val="0"/>
                <w:sz w:val="21"/>
                <w:szCs w:val="21"/>
                <w:lang w:eastAsia="zh-CN"/>
              </w:rPr>
            </w:pPr>
          </w:p>
        </w:tc>
        <w:tc>
          <w:tcPr>
            <w:tcW w:w="6864" w:type="dxa"/>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both"/>
              <w:textAlignment w:val="auto"/>
              <w:rPr>
                <w:rFonts w:hint="default" w:ascii="Times New Roman" w:hAnsi="Times New Roman" w:eastAsia="仿宋_GB2312" w:cs="Times New Roman"/>
                <w:color w:val="000000"/>
                <w:kern w:val="0"/>
                <w:sz w:val="21"/>
                <w:szCs w:val="21"/>
                <w:lang w:eastAsia="zh-CN"/>
              </w:rPr>
            </w:pPr>
            <w:r>
              <w:rPr>
                <w:rFonts w:hint="default" w:ascii="Times New Roman" w:hAnsi="Times New Roman" w:eastAsia="仿宋_GB2312" w:cs="Times New Roman"/>
                <w:color w:val="000000"/>
                <w:kern w:val="0"/>
                <w:sz w:val="21"/>
                <w:szCs w:val="21"/>
                <w:lang w:eastAsia="zh-CN"/>
              </w:rPr>
              <w:t>2021年底前，银川都市圈燃气锅炉、燃油锅炉均严格执行《锅炉大气污染物排放标准》中特别排放限值标准（生物质锅炉参照燃气锅炉执行）。鼓励全区燃气锅炉按照氮氧化物低于50mg/m3排放标准进行低氮燃烧改造。</w:t>
            </w:r>
          </w:p>
        </w:tc>
        <w:tc>
          <w:tcPr>
            <w:tcW w:w="1735" w:type="dxa"/>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仿宋_GB2312" w:cs="Times New Roman"/>
                <w:color w:val="000000"/>
                <w:kern w:val="0"/>
                <w:sz w:val="21"/>
                <w:szCs w:val="21"/>
                <w:lang w:eastAsia="zh-CN"/>
              </w:rPr>
            </w:pPr>
            <w:r>
              <w:rPr>
                <w:rFonts w:hint="default" w:ascii="Times New Roman" w:hAnsi="Times New Roman" w:eastAsia="仿宋_GB2312" w:cs="Times New Roman"/>
                <w:color w:val="000000"/>
                <w:kern w:val="0"/>
                <w:sz w:val="21"/>
                <w:szCs w:val="21"/>
                <w:lang w:eastAsia="zh-CN"/>
              </w:rPr>
              <w:t>自治区生态环境厅</w:t>
            </w:r>
          </w:p>
        </w:tc>
        <w:tc>
          <w:tcPr>
            <w:tcW w:w="1690" w:type="dxa"/>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仿宋_GB2312" w:cs="Times New Roman"/>
                <w:color w:val="000000"/>
                <w:kern w:val="0"/>
                <w:sz w:val="21"/>
                <w:szCs w:val="21"/>
                <w:lang w:eastAsia="zh-CN"/>
              </w:rPr>
            </w:pPr>
            <w:r>
              <w:rPr>
                <w:rFonts w:hint="default" w:ascii="Times New Roman" w:hAnsi="Times New Roman" w:eastAsia="仿宋_GB2312" w:cs="Times New Roman"/>
                <w:color w:val="000000"/>
                <w:kern w:val="0"/>
                <w:sz w:val="21"/>
                <w:szCs w:val="21"/>
                <w:lang w:eastAsia="zh-CN"/>
              </w:rPr>
              <w:t>自治区发展改革委、住房城乡建设厅、工业和信息化厅</w:t>
            </w:r>
          </w:p>
        </w:tc>
        <w:tc>
          <w:tcPr>
            <w:tcW w:w="1493" w:type="dxa"/>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仿宋_GB2312" w:cs="Times New Roman"/>
                <w:color w:val="000000"/>
                <w:kern w:val="0"/>
                <w:sz w:val="21"/>
                <w:szCs w:val="21"/>
                <w:lang w:eastAsia="zh-CN"/>
              </w:rPr>
            </w:pPr>
            <w:r>
              <w:rPr>
                <w:rFonts w:hint="default" w:ascii="Times New Roman" w:hAnsi="Times New Roman" w:eastAsia="仿宋_GB2312" w:cs="Times New Roman"/>
                <w:color w:val="000000"/>
                <w:kern w:val="0"/>
                <w:sz w:val="21"/>
                <w:szCs w:val="21"/>
                <w:lang w:eastAsia="zh-CN"/>
              </w:rPr>
              <w:t>环资处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1" w:hRule="atLeast"/>
          <w:jc w:val="center"/>
        </w:trPr>
        <w:tc>
          <w:tcPr>
            <w:tcW w:w="960" w:type="dxa"/>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val="en-US" w:eastAsia="zh-CN"/>
              </w:rPr>
              <w:t>7</w:t>
            </w:r>
          </w:p>
        </w:tc>
        <w:tc>
          <w:tcPr>
            <w:tcW w:w="1432" w:type="dxa"/>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eastAsia="zh-CN"/>
              </w:rPr>
              <w:t>建立完善经济政策</w:t>
            </w:r>
          </w:p>
        </w:tc>
        <w:tc>
          <w:tcPr>
            <w:tcW w:w="6864" w:type="dxa"/>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both"/>
              <w:textAlignment w:val="auto"/>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eastAsia="zh-CN"/>
              </w:rPr>
              <w:t>落实环境保护税各项税收优惠政策，推动企业形成绿色发展模式。落实电石、铁合金、烧碱、水泥、钢铁、黄磷、锌冶炼等7个行业的差别电价政策，对淘汰类和限制类企业用电进一步提高差别电价加价标准。对电解铝、水泥、钢铁企业用电实行阶梯电价政策，落实清洁供暖价格政策。</w:t>
            </w:r>
          </w:p>
        </w:tc>
        <w:tc>
          <w:tcPr>
            <w:tcW w:w="1735" w:type="dxa"/>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eastAsia="zh-CN"/>
              </w:rPr>
              <w:t>自治区财政厅、宁夏税务局</w:t>
            </w:r>
          </w:p>
        </w:tc>
        <w:tc>
          <w:tcPr>
            <w:tcW w:w="1690" w:type="dxa"/>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eastAsia="zh-CN"/>
              </w:rPr>
              <w:t>自治区发展改革委、住房城乡建设厅、生态环境厅</w:t>
            </w:r>
          </w:p>
        </w:tc>
        <w:tc>
          <w:tcPr>
            <w:tcW w:w="1493" w:type="dxa"/>
            <w:vAlign w:val="center"/>
          </w:tcPr>
          <w:p>
            <w:pPr>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default" w:ascii="Times New Roman" w:hAnsi="Times New Roman" w:eastAsia="仿宋_GB2312" w:cs="Times New Roman"/>
                <w:color w:val="000000"/>
                <w:kern w:val="0"/>
                <w:sz w:val="21"/>
                <w:szCs w:val="21"/>
                <w:lang w:eastAsia="zh-CN"/>
              </w:rPr>
            </w:pPr>
            <w:r>
              <w:rPr>
                <w:rFonts w:hint="default" w:ascii="Times New Roman" w:hAnsi="Times New Roman" w:eastAsia="仿宋_GB2312" w:cs="Times New Roman"/>
                <w:color w:val="000000"/>
                <w:kern w:val="0"/>
                <w:sz w:val="21"/>
                <w:szCs w:val="21"/>
                <w:lang w:eastAsia="zh-CN"/>
              </w:rPr>
              <w:t>价管处</w:t>
            </w: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Lines="0" w:line="240" w:lineRule="exact"/>
        <w:ind w:left="0" w:right="0" w:firstLine="601"/>
        <w:textAlignment w:val="auto"/>
        <w:rPr>
          <w:rFonts w:hint="default"/>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left"/>
        <w:textAlignment w:val="auto"/>
        <w:outlineLvl w:val="1"/>
        <w:rPr>
          <w:rFonts w:hint="default" w:ascii="Times New Roman" w:hAnsi="Times New Roman" w:eastAsia="黑体" w:cs="Times New Roman"/>
          <w:b w:val="0"/>
          <w:bCs/>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left"/>
        <w:textAlignment w:val="auto"/>
        <w:outlineLvl w:val="1"/>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lang w:val="en-US" w:eastAsia="zh-CN"/>
        </w:rPr>
        <w:t>附表2</w:t>
      </w:r>
    </w:p>
    <w:p>
      <w:pPr>
        <w:keepNext w:val="0"/>
        <w:keepLines w:val="0"/>
        <w:pageBreakBefore w:val="0"/>
        <w:widowControl w:val="0"/>
        <w:kinsoku/>
        <w:wordWrap/>
        <w:overflowPunct/>
        <w:topLinePunct w:val="0"/>
        <w:autoSpaceDE/>
        <w:autoSpaceDN/>
        <w:bidi w:val="0"/>
        <w:adjustRightInd/>
        <w:snapToGrid/>
        <w:spacing w:beforeLines="0" w:after="223" w:afterLines="50" w:line="640" w:lineRule="exact"/>
        <w:ind w:left="0" w:leftChars="0" w:right="0" w:rightChars="0" w:firstLine="0" w:firstLineChars="0"/>
        <w:jc w:val="center"/>
        <w:textAlignment w:val="auto"/>
        <w:outlineLvl w:val="9"/>
        <w:rPr>
          <w:rFonts w:hint="default" w:ascii="Times New Roman" w:hAnsi="Times New Roman" w:eastAsia="方正小标宋_GBK" w:cs="Times New Roman"/>
          <w:sz w:val="36"/>
          <w:szCs w:val="36"/>
          <w:lang w:eastAsia="zh-CN"/>
        </w:rPr>
      </w:pPr>
      <w:r>
        <w:rPr>
          <w:rFonts w:hint="default" w:ascii="Times New Roman" w:hAnsi="Times New Roman" w:eastAsia="方正小标宋_GBK" w:cs="Times New Roman"/>
          <w:sz w:val="36"/>
          <w:szCs w:val="36"/>
          <w:lang w:eastAsia="zh-CN"/>
        </w:rPr>
        <w:t>自治区发展改革委202</w:t>
      </w:r>
      <w:r>
        <w:rPr>
          <w:rFonts w:hint="default" w:ascii="Times New Roman" w:hAnsi="Times New Roman" w:eastAsia="方正小标宋_GBK" w:cs="Times New Roman"/>
          <w:sz w:val="36"/>
          <w:szCs w:val="36"/>
          <w:lang w:val="en-US" w:eastAsia="zh-CN"/>
        </w:rPr>
        <w:t>1</w:t>
      </w:r>
      <w:r>
        <w:rPr>
          <w:rFonts w:hint="default" w:ascii="Times New Roman" w:hAnsi="Times New Roman" w:eastAsia="方正小标宋_GBK" w:cs="Times New Roman"/>
          <w:sz w:val="36"/>
          <w:szCs w:val="36"/>
          <w:lang w:eastAsia="zh-CN"/>
        </w:rPr>
        <w:t>年全区水污染防治重点工作任务分工清单</w:t>
      </w:r>
    </w:p>
    <w:tbl>
      <w:tblPr>
        <w:tblStyle w:val="8"/>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432"/>
        <w:gridCol w:w="6864"/>
        <w:gridCol w:w="1735"/>
        <w:gridCol w:w="1690"/>
        <w:gridCol w:w="1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blHeader/>
          <w:jc w:val="center"/>
        </w:trPr>
        <w:tc>
          <w:tcPr>
            <w:tcW w:w="960" w:type="dxa"/>
            <w:vAlign w:val="center"/>
          </w:tcPr>
          <w:p>
            <w:pPr>
              <w:keepNext w:val="0"/>
              <w:keepLines w:val="0"/>
              <w:pageBreakBefore w:val="0"/>
              <w:kinsoku/>
              <w:wordWrap/>
              <w:overflowPunct/>
              <w:topLinePunct w:val="0"/>
              <w:autoSpaceDE/>
              <w:autoSpaceDN/>
              <w:bidi w:val="0"/>
              <w:adjustRightInd/>
              <w:snapToGrid/>
              <w:spacing w:beforeLines="0" w:afterLines="0" w:line="34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序号</w:t>
            </w:r>
          </w:p>
        </w:tc>
        <w:tc>
          <w:tcPr>
            <w:tcW w:w="8296" w:type="dxa"/>
            <w:gridSpan w:val="2"/>
            <w:vAlign w:val="center"/>
          </w:tcPr>
          <w:p>
            <w:pPr>
              <w:keepNext w:val="0"/>
              <w:keepLines w:val="0"/>
              <w:pageBreakBefore w:val="0"/>
              <w:kinsoku/>
              <w:wordWrap/>
              <w:overflowPunct/>
              <w:topLinePunct w:val="0"/>
              <w:autoSpaceDE/>
              <w:autoSpaceDN/>
              <w:bidi w:val="0"/>
              <w:adjustRightInd/>
              <w:snapToGrid/>
              <w:spacing w:beforeLines="0" w:afterLines="0" w:line="34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重点任务</w:t>
            </w:r>
          </w:p>
        </w:tc>
        <w:tc>
          <w:tcPr>
            <w:tcW w:w="1735" w:type="dxa"/>
            <w:vAlign w:val="center"/>
          </w:tcPr>
          <w:p>
            <w:pPr>
              <w:keepNext w:val="0"/>
              <w:keepLines w:val="0"/>
              <w:pageBreakBefore w:val="0"/>
              <w:kinsoku/>
              <w:wordWrap/>
              <w:overflowPunct/>
              <w:topLinePunct w:val="0"/>
              <w:autoSpaceDE/>
              <w:autoSpaceDN/>
              <w:bidi w:val="0"/>
              <w:adjustRightInd/>
              <w:snapToGrid/>
              <w:spacing w:beforeLines="0" w:afterLines="0" w:line="34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牵头</w:t>
            </w:r>
          </w:p>
          <w:p>
            <w:pPr>
              <w:keepNext w:val="0"/>
              <w:keepLines w:val="0"/>
              <w:pageBreakBefore w:val="0"/>
              <w:kinsoku/>
              <w:wordWrap/>
              <w:overflowPunct/>
              <w:topLinePunct w:val="0"/>
              <w:autoSpaceDE/>
              <w:autoSpaceDN/>
              <w:bidi w:val="0"/>
              <w:adjustRightInd/>
              <w:snapToGrid/>
              <w:spacing w:beforeLines="0" w:afterLines="0" w:line="340" w:lineRule="exact"/>
              <w:jc w:val="center"/>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单位</w:t>
            </w:r>
          </w:p>
        </w:tc>
        <w:tc>
          <w:tcPr>
            <w:tcW w:w="1690" w:type="dxa"/>
            <w:vAlign w:val="center"/>
          </w:tcPr>
          <w:p>
            <w:pPr>
              <w:keepNext w:val="0"/>
              <w:keepLines w:val="0"/>
              <w:pageBreakBefore w:val="0"/>
              <w:kinsoku/>
              <w:wordWrap/>
              <w:overflowPunct/>
              <w:topLinePunct w:val="0"/>
              <w:autoSpaceDE/>
              <w:autoSpaceDN/>
              <w:bidi w:val="0"/>
              <w:adjustRightInd/>
              <w:snapToGrid/>
              <w:spacing w:beforeLines="0" w:afterLines="0" w:line="340" w:lineRule="exact"/>
              <w:jc w:val="center"/>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配合</w:t>
            </w:r>
          </w:p>
          <w:p>
            <w:pPr>
              <w:keepNext w:val="0"/>
              <w:keepLines w:val="0"/>
              <w:pageBreakBefore w:val="0"/>
              <w:kinsoku/>
              <w:wordWrap/>
              <w:overflowPunct/>
              <w:topLinePunct w:val="0"/>
              <w:autoSpaceDE/>
              <w:autoSpaceDN/>
              <w:bidi w:val="0"/>
              <w:adjustRightInd/>
              <w:snapToGrid/>
              <w:spacing w:beforeLines="0" w:afterLines="0" w:line="340" w:lineRule="exact"/>
              <w:jc w:val="center"/>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单位</w:t>
            </w:r>
          </w:p>
        </w:tc>
        <w:tc>
          <w:tcPr>
            <w:tcW w:w="1493" w:type="dxa"/>
            <w:vAlign w:val="center"/>
          </w:tcPr>
          <w:p>
            <w:pPr>
              <w:keepNext w:val="0"/>
              <w:keepLines w:val="0"/>
              <w:pageBreakBefore w:val="0"/>
              <w:kinsoku/>
              <w:wordWrap/>
              <w:overflowPunct/>
              <w:topLinePunct w:val="0"/>
              <w:autoSpaceDE/>
              <w:autoSpaceDN/>
              <w:bidi w:val="0"/>
              <w:adjustRightInd/>
              <w:snapToGrid/>
              <w:spacing w:beforeLines="0" w:afterLines="0" w:line="34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责任</w:t>
            </w:r>
            <w:r>
              <w:rPr>
                <w:rFonts w:hint="default" w:ascii="Times New Roman" w:hAnsi="Times New Roman" w:eastAsia="仿宋_GB2312" w:cs="Times New Roman"/>
                <w:sz w:val="21"/>
                <w:szCs w:val="21"/>
              </w:rPr>
              <w:t>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14174" w:type="dxa"/>
            <w:gridSpan w:val="6"/>
            <w:vAlign w:val="center"/>
          </w:tcPr>
          <w:p>
            <w:pPr>
              <w:keepNext w:val="0"/>
              <w:keepLines w:val="0"/>
              <w:pageBreakBefore w:val="0"/>
              <w:tabs>
                <w:tab w:val="left" w:pos="1645"/>
              </w:tabs>
              <w:kinsoku/>
              <w:wordWrap/>
              <w:overflowPunct/>
              <w:topLinePunct w:val="0"/>
              <w:autoSpaceDE/>
              <w:autoSpaceDN/>
              <w:bidi w:val="0"/>
              <w:adjustRightInd/>
              <w:snapToGrid/>
              <w:spacing w:beforeLines="0" w:afterLines="0" w:line="340" w:lineRule="exact"/>
              <w:jc w:val="both"/>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b/>
                <w:bCs/>
                <w:sz w:val="21"/>
                <w:szCs w:val="21"/>
                <w:lang w:eastAsia="zh-CN"/>
              </w:rPr>
              <w:t>牵头任务（</w:t>
            </w:r>
            <w:r>
              <w:rPr>
                <w:rFonts w:hint="default" w:ascii="Times New Roman" w:hAnsi="Times New Roman" w:eastAsia="仿宋_GB2312" w:cs="Times New Roman"/>
                <w:b/>
                <w:bCs/>
                <w:sz w:val="21"/>
                <w:szCs w:val="21"/>
                <w:lang w:val="en-US" w:eastAsia="zh-CN"/>
              </w:rPr>
              <w:t>1项</w:t>
            </w:r>
            <w:r>
              <w:rPr>
                <w:rFonts w:hint="default" w:ascii="Times New Roman" w:hAnsi="Times New Roman" w:eastAsia="仿宋_GB2312" w:cs="Times New Roman"/>
                <w:b/>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0" w:hRule="atLeast"/>
          <w:jc w:val="center"/>
        </w:trPr>
        <w:tc>
          <w:tcPr>
            <w:tcW w:w="960" w:type="dxa"/>
            <w:vAlign w:val="center"/>
          </w:tcPr>
          <w:p>
            <w:pPr>
              <w:keepNext w:val="0"/>
              <w:keepLines w:val="0"/>
              <w:pageBreakBefore w:val="0"/>
              <w:widowControl/>
              <w:kinsoku/>
              <w:wordWrap/>
              <w:overflowPunct/>
              <w:topLinePunct w:val="0"/>
              <w:autoSpaceDE/>
              <w:autoSpaceDN/>
              <w:bidi w:val="0"/>
              <w:adjustRightInd/>
              <w:snapToGrid/>
              <w:spacing w:beforeLines="0" w:afterLines="0" w:line="34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1</w:t>
            </w:r>
          </w:p>
        </w:tc>
        <w:tc>
          <w:tcPr>
            <w:tcW w:w="1432" w:type="dxa"/>
            <w:vAlign w:val="center"/>
          </w:tcPr>
          <w:p>
            <w:pPr>
              <w:keepNext w:val="0"/>
              <w:keepLines w:val="0"/>
              <w:pageBreakBefore w:val="0"/>
              <w:widowControl/>
              <w:kinsoku/>
              <w:wordWrap/>
              <w:overflowPunct/>
              <w:topLinePunct w:val="0"/>
              <w:autoSpaceDE/>
              <w:autoSpaceDN/>
              <w:bidi w:val="0"/>
              <w:adjustRightInd/>
              <w:snapToGrid/>
              <w:spacing w:beforeLines="0" w:afterLines="0" w:line="34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加强法规标准和资金项目保障</w:t>
            </w:r>
          </w:p>
        </w:tc>
        <w:tc>
          <w:tcPr>
            <w:tcW w:w="6864" w:type="dxa"/>
            <w:vAlign w:val="center"/>
          </w:tcPr>
          <w:p>
            <w:pPr>
              <w:keepNext w:val="0"/>
              <w:keepLines w:val="0"/>
              <w:pageBreakBefore w:val="0"/>
              <w:widowControl/>
              <w:kinsoku/>
              <w:wordWrap/>
              <w:overflowPunct/>
              <w:topLinePunct w:val="0"/>
              <w:autoSpaceDE/>
              <w:autoSpaceDN/>
              <w:bidi w:val="0"/>
              <w:adjustRightInd/>
              <w:snapToGrid/>
              <w:spacing w:beforeLines="0" w:afterLines="0" w:line="340" w:lineRule="exact"/>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kern w:val="0"/>
                <w:sz w:val="21"/>
                <w:szCs w:val="21"/>
              </w:rPr>
              <w:t>落实国家黄河生态保护有关法律法规，开展《宁夏回族自治区建设黄河流域生态保护和高质量发展先行区促进条例（草案）》起草工作。加快推进《宁夏回族自治区污水处理厂主要水污染物排放标准》制定。做好水污染防治资金项目管理等方面指导培训、评估审核、绩效监督、风险防范等工作。对水污染防治项目进展与资金执行情况开展督导，提高资金绩效。</w:t>
            </w:r>
          </w:p>
        </w:tc>
        <w:tc>
          <w:tcPr>
            <w:tcW w:w="1735" w:type="dxa"/>
            <w:vAlign w:val="center"/>
          </w:tcPr>
          <w:p>
            <w:pPr>
              <w:keepNext w:val="0"/>
              <w:keepLines w:val="0"/>
              <w:pageBreakBefore w:val="0"/>
              <w:widowControl/>
              <w:kinsoku/>
              <w:wordWrap/>
              <w:overflowPunct/>
              <w:topLinePunct w:val="0"/>
              <w:autoSpaceDE/>
              <w:autoSpaceDN/>
              <w:bidi w:val="0"/>
              <w:adjustRightInd/>
              <w:snapToGrid/>
              <w:spacing w:beforeLines="0" w:afterLines="0" w:line="340" w:lineRule="exact"/>
              <w:jc w:val="center"/>
              <w:textAlignment w:val="auto"/>
              <w:rPr>
                <w:rFonts w:hint="default" w:ascii="Times New Roman" w:hAnsi="Times New Roman" w:eastAsia="仿宋_GB2312" w:cs="Times New Roman"/>
                <w:color w:val="000000"/>
                <w:kern w:val="0"/>
                <w:sz w:val="21"/>
                <w:szCs w:val="21"/>
                <w:lang w:eastAsia="zh-CN"/>
              </w:rPr>
            </w:pPr>
            <w:r>
              <w:rPr>
                <w:rFonts w:hint="default" w:ascii="Times New Roman" w:hAnsi="Times New Roman" w:eastAsia="仿宋_GB2312" w:cs="Times New Roman"/>
                <w:color w:val="000000"/>
                <w:kern w:val="0"/>
                <w:sz w:val="21"/>
                <w:szCs w:val="21"/>
              </w:rPr>
              <w:t>自治区发展改革委、生态环境厅、司法厅根据职责分别牵头</w:t>
            </w:r>
          </w:p>
        </w:tc>
        <w:tc>
          <w:tcPr>
            <w:tcW w:w="1690" w:type="dxa"/>
            <w:vAlign w:val="center"/>
          </w:tcPr>
          <w:p>
            <w:pPr>
              <w:keepNext w:val="0"/>
              <w:keepLines w:val="0"/>
              <w:pageBreakBefore w:val="0"/>
              <w:widowControl/>
              <w:kinsoku/>
              <w:wordWrap/>
              <w:overflowPunct/>
              <w:topLinePunct w:val="0"/>
              <w:autoSpaceDE/>
              <w:autoSpaceDN/>
              <w:bidi w:val="0"/>
              <w:adjustRightInd/>
              <w:snapToGrid/>
              <w:spacing w:beforeLines="0" w:afterLines="0" w:line="34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自治区市场监管厅、财政厅、工业和信息化厅、水利厅、住房城乡建设厅、自然资源厅</w:t>
            </w:r>
          </w:p>
        </w:tc>
        <w:tc>
          <w:tcPr>
            <w:tcW w:w="1493" w:type="dxa"/>
            <w:vAlign w:val="center"/>
          </w:tcPr>
          <w:p>
            <w:pPr>
              <w:keepNext w:val="0"/>
              <w:keepLines w:val="0"/>
              <w:pageBreakBefore w:val="0"/>
              <w:widowControl/>
              <w:kinsoku/>
              <w:wordWrap/>
              <w:overflowPunct/>
              <w:topLinePunct w:val="0"/>
              <w:autoSpaceDE/>
              <w:autoSpaceDN/>
              <w:bidi w:val="0"/>
              <w:adjustRightInd/>
              <w:snapToGrid/>
              <w:spacing w:beforeLines="0" w:afterLines="0" w:line="340" w:lineRule="exact"/>
              <w:jc w:val="center"/>
              <w:textAlignment w:val="auto"/>
              <w:rPr>
                <w:rFonts w:hint="default" w:ascii="Times New Roman" w:hAnsi="Times New Roman" w:eastAsia="仿宋_GB2312" w:cs="Times New Roman"/>
                <w:color w:val="000000"/>
                <w:kern w:val="0"/>
                <w:sz w:val="21"/>
                <w:szCs w:val="21"/>
                <w:lang w:eastAsia="zh-CN"/>
              </w:rPr>
            </w:pPr>
            <w:r>
              <w:rPr>
                <w:rFonts w:hint="default" w:ascii="Times New Roman" w:hAnsi="Times New Roman" w:eastAsia="仿宋_GB2312" w:cs="Times New Roman"/>
                <w:color w:val="000000"/>
                <w:kern w:val="0"/>
                <w:sz w:val="21"/>
                <w:szCs w:val="21"/>
                <w:lang w:eastAsia="zh-CN"/>
              </w:rPr>
              <w:t>区域处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4174" w:type="dxa"/>
            <w:gridSpan w:val="6"/>
            <w:vAlign w:val="center"/>
          </w:tcPr>
          <w:p>
            <w:pPr>
              <w:keepNext w:val="0"/>
              <w:keepLines w:val="0"/>
              <w:pageBreakBefore w:val="0"/>
              <w:widowControl/>
              <w:kinsoku/>
              <w:wordWrap/>
              <w:overflowPunct/>
              <w:topLinePunct w:val="0"/>
              <w:autoSpaceDE/>
              <w:autoSpaceDN/>
              <w:bidi w:val="0"/>
              <w:adjustRightInd/>
              <w:snapToGrid/>
              <w:spacing w:beforeLines="0" w:afterLines="0" w:line="340" w:lineRule="exact"/>
              <w:jc w:val="left"/>
              <w:textAlignment w:val="auto"/>
              <w:rPr>
                <w:rFonts w:hint="default" w:ascii="Times New Roman" w:hAnsi="Times New Roman" w:eastAsia="仿宋_GB2312" w:cs="Times New Roman"/>
                <w:color w:val="000000"/>
                <w:kern w:val="0"/>
                <w:sz w:val="21"/>
                <w:szCs w:val="21"/>
                <w:lang w:eastAsia="zh-CN"/>
              </w:rPr>
            </w:pPr>
            <w:r>
              <w:rPr>
                <w:rFonts w:hint="default" w:ascii="Times New Roman" w:hAnsi="Times New Roman" w:eastAsia="仿宋_GB2312" w:cs="Times New Roman"/>
                <w:b/>
                <w:bCs/>
                <w:sz w:val="21"/>
                <w:szCs w:val="21"/>
                <w:lang w:eastAsia="zh-CN"/>
              </w:rPr>
              <w:t>配合任务（</w:t>
            </w:r>
            <w:r>
              <w:rPr>
                <w:rFonts w:hint="default" w:ascii="Times New Roman" w:hAnsi="Times New Roman" w:eastAsia="仿宋_GB2312" w:cs="Times New Roman"/>
                <w:b/>
                <w:bCs/>
                <w:sz w:val="21"/>
                <w:szCs w:val="21"/>
                <w:lang w:val="en-US" w:eastAsia="zh-CN"/>
              </w:rPr>
              <w:t>5项</w:t>
            </w:r>
            <w:r>
              <w:rPr>
                <w:rFonts w:hint="default" w:ascii="Times New Roman" w:hAnsi="Times New Roman" w:eastAsia="仿宋_GB2312" w:cs="Times New Roman"/>
                <w:b/>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4" w:hRule="atLeast"/>
          <w:jc w:val="center"/>
        </w:trPr>
        <w:tc>
          <w:tcPr>
            <w:tcW w:w="960" w:type="dxa"/>
            <w:vAlign w:val="center"/>
          </w:tcPr>
          <w:p>
            <w:pPr>
              <w:keepNext w:val="0"/>
              <w:keepLines w:val="0"/>
              <w:pageBreakBefore w:val="0"/>
              <w:widowControl/>
              <w:kinsoku/>
              <w:wordWrap/>
              <w:overflowPunct/>
              <w:topLinePunct w:val="0"/>
              <w:autoSpaceDE/>
              <w:autoSpaceDN/>
              <w:bidi w:val="0"/>
              <w:adjustRightInd/>
              <w:snapToGrid/>
              <w:spacing w:beforeLines="0" w:afterLines="0" w:line="34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val="en-US" w:eastAsia="zh-CN"/>
              </w:rPr>
              <w:t>1</w:t>
            </w:r>
          </w:p>
        </w:tc>
        <w:tc>
          <w:tcPr>
            <w:tcW w:w="1432" w:type="dxa"/>
            <w:vAlign w:val="center"/>
          </w:tcPr>
          <w:p>
            <w:pPr>
              <w:keepNext w:val="0"/>
              <w:keepLines w:val="0"/>
              <w:pageBreakBefore w:val="0"/>
              <w:widowControl/>
              <w:kinsoku/>
              <w:wordWrap/>
              <w:overflowPunct/>
              <w:topLinePunct w:val="0"/>
              <w:autoSpaceDE/>
              <w:autoSpaceDN/>
              <w:bidi w:val="0"/>
              <w:adjustRightInd/>
              <w:snapToGrid/>
              <w:spacing w:beforeLines="0" w:afterLines="0" w:line="34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印发实施水生态环境保护“十四五”规划</w:t>
            </w:r>
          </w:p>
        </w:tc>
        <w:tc>
          <w:tcPr>
            <w:tcW w:w="6864" w:type="dxa"/>
            <w:vAlign w:val="center"/>
          </w:tcPr>
          <w:p>
            <w:pPr>
              <w:keepNext w:val="0"/>
              <w:keepLines w:val="0"/>
              <w:pageBreakBefore w:val="0"/>
              <w:widowControl/>
              <w:kinsoku/>
              <w:wordWrap/>
              <w:overflowPunct/>
              <w:topLinePunct w:val="0"/>
              <w:autoSpaceDE/>
              <w:autoSpaceDN/>
              <w:bidi w:val="0"/>
              <w:adjustRightInd/>
              <w:snapToGrid/>
              <w:spacing w:beforeLines="0" w:afterLines="0" w:line="340" w:lineRule="exact"/>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各地级市和宁东基地按照国家要求继续修改完善《水生态环境保护“十四五”规划》地市要点。自治区在地市要点成果基础上，进一步修改完善《自治区水生态环境保护“十四五”规划》，根据国家要求适时印发实施。</w:t>
            </w:r>
          </w:p>
        </w:tc>
        <w:tc>
          <w:tcPr>
            <w:tcW w:w="1735" w:type="dxa"/>
            <w:vAlign w:val="center"/>
          </w:tcPr>
          <w:p>
            <w:pPr>
              <w:keepNext w:val="0"/>
              <w:keepLines w:val="0"/>
              <w:pageBreakBefore w:val="0"/>
              <w:widowControl/>
              <w:kinsoku/>
              <w:wordWrap/>
              <w:overflowPunct/>
              <w:topLinePunct w:val="0"/>
              <w:autoSpaceDE/>
              <w:autoSpaceDN/>
              <w:bidi w:val="0"/>
              <w:adjustRightInd/>
              <w:snapToGrid/>
              <w:spacing w:beforeLines="0" w:afterLines="0" w:line="34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自治区生态环境厅</w:t>
            </w:r>
          </w:p>
        </w:tc>
        <w:tc>
          <w:tcPr>
            <w:tcW w:w="1690" w:type="dxa"/>
            <w:vAlign w:val="center"/>
          </w:tcPr>
          <w:p>
            <w:pPr>
              <w:keepNext w:val="0"/>
              <w:keepLines w:val="0"/>
              <w:pageBreakBefore w:val="0"/>
              <w:widowControl/>
              <w:kinsoku/>
              <w:wordWrap/>
              <w:overflowPunct/>
              <w:topLinePunct w:val="0"/>
              <w:autoSpaceDE/>
              <w:autoSpaceDN/>
              <w:bidi w:val="0"/>
              <w:adjustRightInd/>
              <w:snapToGrid/>
              <w:spacing w:beforeLines="0" w:afterLines="0" w:line="34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自治区发展改革委、水利厅、工业和信息化厅、住房城乡建设厅、自然资源厅、农业农村厅</w:t>
            </w:r>
          </w:p>
        </w:tc>
        <w:tc>
          <w:tcPr>
            <w:tcW w:w="1493" w:type="dxa"/>
            <w:vAlign w:val="center"/>
          </w:tcPr>
          <w:p>
            <w:pPr>
              <w:keepNext w:val="0"/>
              <w:keepLines w:val="0"/>
              <w:pageBreakBefore w:val="0"/>
              <w:widowControl/>
              <w:kinsoku/>
              <w:wordWrap/>
              <w:overflowPunct/>
              <w:topLinePunct w:val="0"/>
              <w:autoSpaceDE/>
              <w:autoSpaceDN/>
              <w:bidi w:val="0"/>
              <w:adjustRightInd/>
              <w:snapToGrid/>
              <w:spacing w:beforeLines="0" w:afterLines="0" w:line="340" w:lineRule="exact"/>
              <w:jc w:val="center"/>
              <w:textAlignment w:val="auto"/>
              <w:rPr>
                <w:rFonts w:hint="default" w:ascii="Times New Roman" w:hAnsi="Times New Roman" w:eastAsia="仿宋_GB2312" w:cs="Times New Roman"/>
                <w:color w:val="000000"/>
                <w:kern w:val="0"/>
                <w:sz w:val="21"/>
                <w:szCs w:val="21"/>
                <w:lang w:eastAsia="zh-CN"/>
              </w:rPr>
            </w:pPr>
            <w:r>
              <w:rPr>
                <w:rFonts w:hint="default" w:ascii="Times New Roman" w:hAnsi="Times New Roman" w:eastAsia="仿宋_GB2312" w:cs="Times New Roman"/>
                <w:color w:val="000000"/>
                <w:kern w:val="0"/>
                <w:sz w:val="21"/>
                <w:szCs w:val="21"/>
                <w:lang w:eastAsia="zh-CN"/>
              </w:rPr>
              <w:t>区域处</w:t>
            </w:r>
          </w:p>
          <w:p>
            <w:pPr>
              <w:keepNext w:val="0"/>
              <w:keepLines w:val="0"/>
              <w:pageBreakBefore w:val="0"/>
              <w:widowControl/>
              <w:kinsoku/>
              <w:wordWrap/>
              <w:overflowPunct/>
              <w:topLinePunct w:val="0"/>
              <w:autoSpaceDE/>
              <w:autoSpaceDN/>
              <w:bidi w:val="0"/>
              <w:adjustRightInd/>
              <w:snapToGrid/>
              <w:spacing w:beforeLines="0" w:afterLines="0" w:line="340" w:lineRule="exact"/>
              <w:jc w:val="center"/>
              <w:textAlignment w:val="auto"/>
              <w:rPr>
                <w:rFonts w:hint="default" w:ascii="Times New Roman" w:hAnsi="Times New Roman" w:eastAsia="仿宋_GB2312" w:cs="Times New Roman"/>
                <w:color w:val="000000"/>
                <w:kern w:val="0"/>
                <w:sz w:val="21"/>
                <w:szCs w:val="21"/>
                <w:lang w:eastAsia="zh-CN"/>
              </w:rPr>
            </w:pPr>
            <w:r>
              <w:rPr>
                <w:rFonts w:hint="default" w:ascii="Times New Roman" w:hAnsi="Times New Roman" w:eastAsia="仿宋_GB2312" w:cs="Times New Roman"/>
                <w:color w:val="000000"/>
                <w:kern w:val="0"/>
                <w:sz w:val="21"/>
                <w:szCs w:val="21"/>
                <w:lang w:eastAsia="zh-CN"/>
              </w:rPr>
              <w:t>环资处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2" w:hRule="atLeast"/>
          <w:jc w:val="center"/>
        </w:trPr>
        <w:tc>
          <w:tcPr>
            <w:tcW w:w="960" w:type="dxa"/>
            <w:vAlign w:val="center"/>
          </w:tcPr>
          <w:p>
            <w:pPr>
              <w:keepNext w:val="0"/>
              <w:keepLines w:val="0"/>
              <w:pageBreakBefore w:val="0"/>
              <w:tabs>
                <w:tab w:val="left" w:pos="1645"/>
              </w:tabs>
              <w:kinsoku/>
              <w:wordWrap/>
              <w:overflowPunct/>
              <w:topLinePunct w:val="0"/>
              <w:autoSpaceDE/>
              <w:autoSpaceDN/>
              <w:bidi w:val="0"/>
              <w:adjustRightInd/>
              <w:snapToGrid/>
              <w:spacing w:beforeLines="0" w:afterLines="0" w:line="340" w:lineRule="exact"/>
              <w:jc w:val="center"/>
              <w:textAlignment w:val="auto"/>
              <w:rPr>
                <w:rFonts w:hint="default" w:ascii="Times New Roman" w:hAnsi="Times New Roman" w:eastAsia="仿宋_GB2312" w:cs="Times New Roman"/>
                <w:b/>
                <w:bCs/>
                <w:sz w:val="21"/>
                <w:szCs w:val="21"/>
                <w:lang w:val="en-US" w:eastAsia="zh-CN"/>
              </w:rPr>
            </w:pPr>
            <w:r>
              <w:rPr>
                <w:rFonts w:hint="default" w:ascii="Times New Roman" w:hAnsi="Times New Roman" w:eastAsia="仿宋_GB2312" w:cs="Times New Roman"/>
                <w:color w:val="000000"/>
                <w:kern w:val="0"/>
                <w:sz w:val="21"/>
                <w:szCs w:val="21"/>
                <w:lang w:val="en-US" w:eastAsia="zh-CN"/>
              </w:rPr>
              <w:t>2</w:t>
            </w:r>
          </w:p>
        </w:tc>
        <w:tc>
          <w:tcPr>
            <w:tcW w:w="1432" w:type="dxa"/>
            <w:vAlign w:val="center"/>
          </w:tcPr>
          <w:p>
            <w:pPr>
              <w:keepNext w:val="0"/>
              <w:keepLines w:val="0"/>
              <w:pageBreakBefore w:val="0"/>
              <w:widowControl/>
              <w:kinsoku/>
              <w:wordWrap/>
              <w:overflowPunct/>
              <w:topLinePunct w:val="0"/>
              <w:autoSpaceDE/>
              <w:autoSpaceDN/>
              <w:bidi w:val="0"/>
              <w:adjustRightInd/>
              <w:snapToGrid/>
              <w:spacing w:beforeLines="0" w:afterLines="0" w:line="34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持续推进工业污染防治</w:t>
            </w:r>
          </w:p>
        </w:tc>
        <w:tc>
          <w:tcPr>
            <w:tcW w:w="6864" w:type="dxa"/>
            <w:vAlign w:val="center"/>
          </w:tcPr>
          <w:p>
            <w:pPr>
              <w:keepNext w:val="0"/>
              <w:keepLines w:val="0"/>
              <w:pageBreakBefore w:val="0"/>
              <w:widowControl/>
              <w:kinsoku/>
              <w:wordWrap/>
              <w:overflowPunct/>
              <w:topLinePunct w:val="0"/>
              <w:autoSpaceDE/>
              <w:autoSpaceDN/>
              <w:bidi w:val="0"/>
              <w:adjustRightInd/>
              <w:snapToGrid/>
              <w:spacing w:beforeLines="0" w:afterLines="0" w:line="340" w:lineRule="exact"/>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巩固深化“十三五”治理成效，加快补齐工业园区污水处理短板。严格落实“三线一单”，推动重点行业强制性清洁生产，从严落实工业排污许可制度，严格控制高耗水、高污染的新建、改建、扩建项目。清理整顿黄河岸线内列入负面清单的产业和项目，推动沿黄一定范围内高耗水、高污染企业迁入合规园区，严禁在黄河干流及主要支流临岸一定范围内新建“两高一资”项目及相关产业园区。</w:t>
            </w:r>
          </w:p>
        </w:tc>
        <w:tc>
          <w:tcPr>
            <w:tcW w:w="1735" w:type="dxa"/>
            <w:vAlign w:val="center"/>
          </w:tcPr>
          <w:p>
            <w:pPr>
              <w:keepNext w:val="0"/>
              <w:keepLines w:val="0"/>
              <w:pageBreakBefore w:val="0"/>
              <w:widowControl/>
              <w:kinsoku/>
              <w:wordWrap/>
              <w:overflowPunct/>
              <w:topLinePunct w:val="0"/>
              <w:autoSpaceDE/>
              <w:autoSpaceDN/>
              <w:bidi w:val="0"/>
              <w:adjustRightInd/>
              <w:snapToGrid/>
              <w:spacing w:beforeLines="0" w:afterLines="0" w:line="34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自治区生态环境厅</w:t>
            </w:r>
          </w:p>
        </w:tc>
        <w:tc>
          <w:tcPr>
            <w:tcW w:w="1690" w:type="dxa"/>
            <w:vAlign w:val="center"/>
          </w:tcPr>
          <w:p>
            <w:pPr>
              <w:keepNext w:val="0"/>
              <w:keepLines w:val="0"/>
              <w:pageBreakBefore w:val="0"/>
              <w:widowControl/>
              <w:kinsoku/>
              <w:wordWrap/>
              <w:overflowPunct/>
              <w:topLinePunct w:val="0"/>
              <w:autoSpaceDE/>
              <w:autoSpaceDN/>
              <w:bidi w:val="0"/>
              <w:adjustRightInd/>
              <w:snapToGrid/>
              <w:spacing w:beforeLines="0" w:afterLines="0" w:line="34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自治区发展改革委、工业和信息化厅、水利厅</w:t>
            </w:r>
          </w:p>
        </w:tc>
        <w:tc>
          <w:tcPr>
            <w:tcW w:w="1493" w:type="dxa"/>
            <w:vAlign w:val="center"/>
          </w:tcPr>
          <w:p>
            <w:pPr>
              <w:keepNext w:val="0"/>
              <w:keepLines w:val="0"/>
              <w:pageBreakBefore w:val="0"/>
              <w:widowControl/>
              <w:kinsoku/>
              <w:wordWrap/>
              <w:overflowPunct/>
              <w:topLinePunct w:val="0"/>
              <w:autoSpaceDE/>
              <w:autoSpaceDN/>
              <w:bidi w:val="0"/>
              <w:adjustRightInd/>
              <w:snapToGrid/>
              <w:spacing w:beforeLines="0" w:afterLines="0" w:line="340" w:lineRule="exact"/>
              <w:jc w:val="center"/>
              <w:textAlignment w:val="auto"/>
              <w:rPr>
                <w:rFonts w:hint="default" w:ascii="Times New Roman" w:hAnsi="Times New Roman" w:eastAsia="仿宋_GB2312" w:cs="Times New Roman"/>
                <w:color w:val="000000"/>
                <w:kern w:val="0"/>
                <w:sz w:val="21"/>
                <w:szCs w:val="21"/>
                <w:lang w:eastAsia="zh-CN"/>
              </w:rPr>
            </w:pPr>
            <w:r>
              <w:rPr>
                <w:rFonts w:hint="default" w:ascii="Times New Roman" w:hAnsi="Times New Roman" w:eastAsia="仿宋_GB2312" w:cs="Times New Roman"/>
                <w:color w:val="000000"/>
                <w:kern w:val="0"/>
                <w:sz w:val="21"/>
                <w:szCs w:val="21"/>
                <w:lang w:eastAsia="zh-CN"/>
              </w:rPr>
              <w:t>环资处</w:t>
            </w:r>
          </w:p>
          <w:p>
            <w:pPr>
              <w:keepNext w:val="0"/>
              <w:keepLines w:val="0"/>
              <w:pageBreakBefore w:val="0"/>
              <w:widowControl/>
              <w:kinsoku/>
              <w:wordWrap/>
              <w:overflowPunct/>
              <w:topLinePunct w:val="0"/>
              <w:autoSpaceDE/>
              <w:autoSpaceDN/>
              <w:bidi w:val="0"/>
              <w:adjustRightInd/>
              <w:snapToGrid/>
              <w:spacing w:beforeLines="0" w:afterLines="0" w:line="340" w:lineRule="exact"/>
              <w:jc w:val="center"/>
              <w:textAlignment w:val="auto"/>
              <w:rPr>
                <w:rFonts w:hint="default" w:ascii="Times New Roman" w:hAnsi="Times New Roman" w:eastAsia="仿宋_GB2312" w:cs="Times New Roman"/>
                <w:color w:val="000000"/>
                <w:kern w:val="0"/>
                <w:sz w:val="21"/>
                <w:szCs w:val="21"/>
                <w:lang w:eastAsia="zh-CN"/>
              </w:rPr>
            </w:pPr>
            <w:r>
              <w:rPr>
                <w:rFonts w:hint="default" w:ascii="Times New Roman" w:hAnsi="Times New Roman" w:eastAsia="仿宋_GB2312" w:cs="Times New Roman"/>
                <w:color w:val="000000"/>
                <w:kern w:val="0"/>
                <w:sz w:val="21"/>
                <w:szCs w:val="21"/>
                <w:lang w:eastAsia="zh-CN"/>
              </w:rPr>
              <w:t>产业处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2" w:hRule="atLeast"/>
          <w:jc w:val="center"/>
        </w:trPr>
        <w:tc>
          <w:tcPr>
            <w:tcW w:w="960" w:type="dxa"/>
            <w:vAlign w:val="center"/>
          </w:tcPr>
          <w:p>
            <w:pPr>
              <w:keepNext w:val="0"/>
              <w:keepLines w:val="0"/>
              <w:pageBreakBefore w:val="0"/>
              <w:tabs>
                <w:tab w:val="left" w:pos="1645"/>
              </w:tabs>
              <w:kinsoku/>
              <w:wordWrap/>
              <w:overflowPunct/>
              <w:topLinePunct w:val="0"/>
              <w:autoSpaceDE/>
              <w:autoSpaceDN/>
              <w:bidi w:val="0"/>
              <w:adjustRightInd/>
              <w:snapToGrid/>
              <w:spacing w:beforeLines="0" w:afterLines="0" w:line="340" w:lineRule="exact"/>
              <w:jc w:val="center"/>
              <w:textAlignment w:val="auto"/>
              <w:rPr>
                <w:rFonts w:hint="default" w:ascii="Times New Roman" w:hAnsi="Times New Roman" w:eastAsia="仿宋_GB2312" w:cs="Times New Roman"/>
                <w:b/>
                <w:bCs/>
                <w:sz w:val="21"/>
                <w:szCs w:val="21"/>
                <w:lang w:val="en-US" w:eastAsia="zh-CN"/>
              </w:rPr>
            </w:pPr>
            <w:r>
              <w:rPr>
                <w:rFonts w:hint="default" w:ascii="Times New Roman" w:hAnsi="Times New Roman" w:eastAsia="仿宋_GB2312" w:cs="Times New Roman"/>
                <w:color w:val="000000"/>
                <w:kern w:val="0"/>
                <w:sz w:val="21"/>
                <w:szCs w:val="21"/>
                <w:lang w:val="en-US" w:eastAsia="zh-CN"/>
              </w:rPr>
              <w:t>3</w:t>
            </w:r>
          </w:p>
        </w:tc>
        <w:tc>
          <w:tcPr>
            <w:tcW w:w="1432" w:type="dxa"/>
            <w:vAlign w:val="center"/>
          </w:tcPr>
          <w:p>
            <w:pPr>
              <w:keepNext w:val="0"/>
              <w:keepLines w:val="0"/>
              <w:pageBreakBefore w:val="0"/>
              <w:widowControl/>
              <w:kinsoku/>
              <w:wordWrap/>
              <w:overflowPunct/>
              <w:topLinePunct w:val="0"/>
              <w:autoSpaceDE/>
              <w:autoSpaceDN/>
              <w:bidi w:val="0"/>
              <w:adjustRightInd/>
              <w:snapToGrid/>
              <w:spacing w:beforeLines="0" w:afterLines="0" w:line="34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抓好城镇生活污水提质增效</w:t>
            </w:r>
          </w:p>
        </w:tc>
        <w:tc>
          <w:tcPr>
            <w:tcW w:w="6864" w:type="dxa"/>
            <w:vAlign w:val="center"/>
          </w:tcPr>
          <w:p>
            <w:pPr>
              <w:keepNext w:val="0"/>
              <w:keepLines w:val="0"/>
              <w:pageBreakBefore w:val="0"/>
              <w:widowControl/>
              <w:kinsoku/>
              <w:wordWrap/>
              <w:overflowPunct/>
              <w:topLinePunct w:val="0"/>
              <w:autoSpaceDE/>
              <w:autoSpaceDN/>
              <w:bidi w:val="0"/>
              <w:adjustRightInd/>
              <w:snapToGrid/>
              <w:spacing w:beforeLines="0" w:afterLines="0" w:line="340" w:lineRule="exact"/>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持续推进城镇污水处理提质增效三年行动，因地制宜采取溢流口改造、截流井改造、破损修补、管材更换、增设调蓄设施、雨污分流改造等工程措施，对现有雨污合流管网开展改造，降低合流制管网溢流污染。力争2021年底，地级以上城市建成区基本无生活污水直排口，基本消除城中村、老旧城区和城乡结合部生活污水收集处理设施空白区；设市城市污水处理率达到96%以上，县城达到88%以上</w:t>
            </w:r>
            <w:r>
              <w:rPr>
                <w:rFonts w:hint="default" w:ascii="Times New Roman" w:hAnsi="Times New Roman" w:eastAsia="仿宋_GB2312" w:cs="Times New Roman"/>
                <w:color w:val="000000"/>
                <w:kern w:val="0"/>
                <w:sz w:val="21"/>
                <w:szCs w:val="21"/>
                <w:lang w:eastAsia="zh-CN"/>
              </w:rPr>
              <w:t>。</w:t>
            </w:r>
          </w:p>
        </w:tc>
        <w:tc>
          <w:tcPr>
            <w:tcW w:w="1735" w:type="dxa"/>
            <w:vAlign w:val="center"/>
          </w:tcPr>
          <w:p>
            <w:pPr>
              <w:keepNext w:val="0"/>
              <w:keepLines w:val="0"/>
              <w:pageBreakBefore w:val="0"/>
              <w:widowControl/>
              <w:kinsoku/>
              <w:wordWrap/>
              <w:overflowPunct/>
              <w:topLinePunct w:val="0"/>
              <w:autoSpaceDE/>
              <w:autoSpaceDN/>
              <w:bidi w:val="0"/>
              <w:adjustRightInd/>
              <w:snapToGrid/>
              <w:spacing w:beforeLines="0" w:afterLines="0" w:line="34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自治区住房城乡建设厅</w:t>
            </w:r>
          </w:p>
        </w:tc>
        <w:tc>
          <w:tcPr>
            <w:tcW w:w="1690" w:type="dxa"/>
            <w:vAlign w:val="center"/>
          </w:tcPr>
          <w:p>
            <w:pPr>
              <w:keepNext w:val="0"/>
              <w:keepLines w:val="0"/>
              <w:pageBreakBefore w:val="0"/>
              <w:widowControl/>
              <w:kinsoku/>
              <w:wordWrap/>
              <w:overflowPunct/>
              <w:topLinePunct w:val="0"/>
              <w:autoSpaceDE/>
              <w:autoSpaceDN/>
              <w:bidi w:val="0"/>
              <w:adjustRightInd/>
              <w:snapToGrid/>
              <w:spacing w:beforeLines="0" w:afterLines="0" w:line="340" w:lineRule="exact"/>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自治区发展改革委、生态环境厅、财政厅</w:t>
            </w:r>
          </w:p>
        </w:tc>
        <w:tc>
          <w:tcPr>
            <w:tcW w:w="1493" w:type="dxa"/>
            <w:vAlign w:val="center"/>
          </w:tcPr>
          <w:p>
            <w:pPr>
              <w:keepNext w:val="0"/>
              <w:keepLines w:val="0"/>
              <w:pageBreakBefore w:val="0"/>
              <w:widowControl/>
              <w:kinsoku/>
              <w:wordWrap/>
              <w:overflowPunct/>
              <w:topLinePunct w:val="0"/>
              <w:autoSpaceDE/>
              <w:autoSpaceDN/>
              <w:bidi w:val="0"/>
              <w:adjustRightInd/>
              <w:snapToGrid/>
              <w:spacing w:beforeLines="0" w:afterLines="0" w:line="340" w:lineRule="exact"/>
              <w:jc w:val="center"/>
              <w:textAlignment w:val="auto"/>
              <w:rPr>
                <w:rFonts w:hint="default" w:ascii="Times New Roman" w:hAnsi="Times New Roman" w:eastAsia="仿宋_GB2312" w:cs="Times New Roman"/>
                <w:color w:val="000000"/>
                <w:kern w:val="0"/>
                <w:sz w:val="21"/>
                <w:szCs w:val="21"/>
                <w:lang w:eastAsia="zh-CN"/>
              </w:rPr>
            </w:pPr>
            <w:r>
              <w:rPr>
                <w:rFonts w:hint="default" w:ascii="Times New Roman" w:hAnsi="Times New Roman" w:eastAsia="仿宋_GB2312" w:cs="Times New Roman"/>
                <w:color w:val="000000"/>
                <w:kern w:val="0"/>
                <w:sz w:val="21"/>
                <w:szCs w:val="21"/>
                <w:lang w:eastAsia="zh-CN"/>
              </w:rPr>
              <w:t>环资处</w:t>
            </w:r>
          </w:p>
          <w:p>
            <w:pPr>
              <w:keepNext w:val="0"/>
              <w:keepLines w:val="0"/>
              <w:pageBreakBefore w:val="0"/>
              <w:widowControl/>
              <w:kinsoku/>
              <w:wordWrap/>
              <w:overflowPunct/>
              <w:topLinePunct w:val="0"/>
              <w:autoSpaceDE/>
              <w:autoSpaceDN/>
              <w:bidi w:val="0"/>
              <w:adjustRightInd/>
              <w:snapToGrid/>
              <w:spacing w:beforeLines="0" w:afterLines="0" w:line="340" w:lineRule="exact"/>
              <w:jc w:val="center"/>
              <w:textAlignment w:val="auto"/>
              <w:rPr>
                <w:rFonts w:hint="default" w:ascii="Times New Roman" w:hAnsi="Times New Roman" w:eastAsia="仿宋_GB2312" w:cs="Times New Roman"/>
                <w:color w:val="000000"/>
                <w:kern w:val="0"/>
                <w:sz w:val="21"/>
                <w:szCs w:val="21"/>
                <w:lang w:eastAsia="zh-CN"/>
              </w:rPr>
            </w:pPr>
            <w:r>
              <w:rPr>
                <w:rFonts w:hint="default" w:ascii="Times New Roman" w:hAnsi="Times New Roman" w:eastAsia="仿宋_GB2312" w:cs="Times New Roman"/>
                <w:color w:val="000000"/>
                <w:kern w:val="0"/>
                <w:sz w:val="21"/>
                <w:szCs w:val="21"/>
                <w:lang w:eastAsia="zh-CN"/>
              </w:rPr>
              <w:t>投资处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60" w:type="dxa"/>
            <w:vAlign w:val="center"/>
          </w:tcPr>
          <w:p>
            <w:pPr>
              <w:keepNext w:val="0"/>
              <w:keepLines w:val="0"/>
              <w:pageBreakBefore w:val="0"/>
              <w:widowControl/>
              <w:kinsoku/>
              <w:wordWrap/>
              <w:overflowPunct/>
              <w:topLinePunct w:val="0"/>
              <w:autoSpaceDE/>
              <w:autoSpaceDN/>
              <w:bidi w:val="0"/>
              <w:adjustRightInd/>
              <w:snapToGrid/>
              <w:spacing w:beforeLines="0" w:afterLines="0" w:line="34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val="en-US" w:eastAsia="zh-CN"/>
              </w:rPr>
              <w:t>4</w:t>
            </w:r>
          </w:p>
        </w:tc>
        <w:tc>
          <w:tcPr>
            <w:tcW w:w="1432" w:type="dxa"/>
            <w:vAlign w:val="center"/>
          </w:tcPr>
          <w:p>
            <w:pPr>
              <w:keepNext w:val="0"/>
              <w:keepLines w:val="0"/>
              <w:pageBreakBefore w:val="0"/>
              <w:widowControl/>
              <w:kinsoku/>
              <w:wordWrap/>
              <w:overflowPunct/>
              <w:topLinePunct w:val="0"/>
              <w:autoSpaceDE/>
              <w:autoSpaceDN/>
              <w:bidi w:val="0"/>
              <w:adjustRightInd/>
              <w:snapToGrid/>
              <w:spacing w:beforeLines="0" w:afterLines="0" w:line="34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积极推进星海湖环境问题整改</w:t>
            </w:r>
          </w:p>
        </w:tc>
        <w:tc>
          <w:tcPr>
            <w:tcW w:w="6864" w:type="dxa"/>
            <w:vAlign w:val="center"/>
          </w:tcPr>
          <w:p>
            <w:pPr>
              <w:keepNext w:val="0"/>
              <w:keepLines w:val="0"/>
              <w:pageBreakBefore w:val="0"/>
              <w:widowControl/>
              <w:kinsoku/>
              <w:wordWrap/>
              <w:overflowPunct/>
              <w:topLinePunct w:val="0"/>
              <w:autoSpaceDE/>
              <w:autoSpaceDN/>
              <w:bidi w:val="0"/>
              <w:adjustRightInd/>
              <w:snapToGrid/>
              <w:spacing w:beforeLines="0" w:afterLines="0" w:line="340" w:lineRule="exact"/>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按照自治区党委和政府关于加快推动星海湖生态环境整治的要求，加快推进补水水质提升工程、内循环工程、南域湿地生态修复工程等项目建设，密切关注水质变化情况，切实解决星海湖存在的水域面积过大、水量消耗过多、湿地生态脆弱、生态系统不完善、湖体自净能力差等生态环境突出问题。</w:t>
            </w:r>
          </w:p>
        </w:tc>
        <w:tc>
          <w:tcPr>
            <w:tcW w:w="1735" w:type="dxa"/>
            <w:vAlign w:val="center"/>
          </w:tcPr>
          <w:p>
            <w:pPr>
              <w:keepNext w:val="0"/>
              <w:keepLines w:val="0"/>
              <w:pageBreakBefore w:val="0"/>
              <w:widowControl/>
              <w:kinsoku/>
              <w:wordWrap/>
              <w:overflowPunct/>
              <w:topLinePunct w:val="0"/>
              <w:autoSpaceDE/>
              <w:autoSpaceDN/>
              <w:bidi w:val="0"/>
              <w:adjustRightInd/>
              <w:snapToGrid/>
              <w:spacing w:beforeLines="0" w:afterLines="0" w:line="340" w:lineRule="exact"/>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石嘴山市人民政府</w:t>
            </w:r>
          </w:p>
        </w:tc>
        <w:tc>
          <w:tcPr>
            <w:tcW w:w="1690" w:type="dxa"/>
            <w:vAlign w:val="center"/>
          </w:tcPr>
          <w:p>
            <w:pPr>
              <w:keepNext w:val="0"/>
              <w:keepLines w:val="0"/>
              <w:pageBreakBefore w:val="0"/>
              <w:widowControl/>
              <w:kinsoku/>
              <w:wordWrap/>
              <w:overflowPunct/>
              <w:topLinePunct w:val="0"/>
              <w:autoSpaceDE/>
              <w:autoSpaceDN/>
              <w:bidi w:val="0"/>
              <w:adjustRightInd/>
              <w:snapToGrid/>
              <w:spacing w:beforeLines="0" w:afterLines="0" w:line="34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自治区发展改革委、水利厅、自然资源厅、生态环境厅</w:t>
            </w:r>
          </w:p>
        </w:tc>
        <w:tc>
          <w:tcPr>
            <w:tcW w:w="1493" w:type="dxa"/>
            <w:vAlign w:val="center"/>
          </w:tcPr>
          <w:p>
            <w:pPr>
              <w:keepNext w:val="0"/>
              <w:keepLines w:val="0"/>
              <w:pageBreakBefore w:val="0"/>
              <w:widowControl/>
              <w:kinsoku/>
              <w:wordWrap/>
              <w:overflowPunct/>
              <w:topLinePunct w:val="0"/>
              <w:autoSpaceDE/>
              <w:autoSpaceDN/>
              <w:bidi w:val="0"/>
              <w:adjustRightInd/>
              <w:snapToGrid/>
              <w:spacing w:beforeLines="0" w:afterLines="0" w:line="340" w:lineRule="exact"/>
              <w:jc w:val="center"/>
              <w:textAlignment w:val="auto"/>
              <w:rPr>
                <w:rFonts w:hint="default" w:ascii="Times New Roman" w:hAnsi="Times New Roman" w:eastAsia="仿宋_GB2312" w:cs="Times New Roman"/>
                <w:color w:val="000000"/>
                <w:kern w:val="0"/>
                <w:sz w:val="21"/>
                <w:szCs w:val="21"/>
                <w:lang w:eastAsia="zh-CN"/>
              </w:rPr>
            </w:pPr>
            <w:r>
              <w:rPr>
                <w:rFonts w:hint="default" w:ascii="Times New Roman" w:hAnsi="Times New Roman" w:eastAsia="仿宋_GB2312" w:cs="Times New Roman"/>
                <w:color w:val="000000"/>
                <w:kern w:val="0"/>
                <w:sz w:val="21"/>
                <w:szCs w:val="21"/>
                <w:lang w:eastAsia="zh-CN"/>
              </w:rPr>
              <w:t>区域处</w:t>
            </w:r>
          </w:p>
          <w:p>
            <w:pPr>
              <w:keepNext w:val="0"/>
              <w:keepLines w:val="0"/>
              <w:pageBreakBefore w:val="0"/>
              <w:widowControl/>
              <w:kinsoku/>
              <w:wordWrap/>
              <w:overflowPunct/>
              <w:topLinePunct w:val="0"/>
              <w:autoSpaceDE/>
              <w:autoSpaceDN/>
              <w:bidi w:val="0"/>
              <w:adjustRightInd/>
              <w:snapToGrid/>
              <w:spacing w:beforeLines="0" w:afterLines="0" w:line="340" w:lineRule="exact"/>
              <w:jc w:val="center"/>
              <w:textAlignment w:val="auto"/>
              <w:rPr>
                <w:rFonts w:hint="default" w:ascii="Times New Roman" w:hAnsi="Times New Roman" w:eastAsia="仿宋_GB2312" w:cs="Times New Roman"/>
                <w:color w:val="000000"/>
                <w:kern w:val="0"/>
                <w:sz w:val="21"/>
                <w:szCs w:val="21"/>
                <w:lang w:eastAsia="zh-CN"/>
              </w:rPr>
            </w:pPr>
            <w:r>
              <w:rPr>
                <w:rFonts w:hint="default" w:ascii="Times New Roman" w:hAnsi="Times New Roman" w:eastAsia="仿宋_GB2312" w:cs="Times New Roman"/>
                <w:color w:val="000000"/>
                <w:kern w:val="0"/>
                <w:sz w:val="21"/>
                <w:szCs w:val="21"/>
                <w:lang w:eastAsia="zh-CN"/>
              </w:rPr>
              <w:t>环资处</w:t>
            </w:r>
          </w:p>
          <w:p>
            <w:pPr>
              <w:keepNext w:val="0"/>
              <w:keepLines w:val="0"/>
              <w:pageBreakBefore w:val="0"/>
              <w:widowControl/>
              <w:kinsoku/>
              <w:wordWrap/>
              <w:overflowPunct/>
              <w:topLinePunct w:val="0"/>
              <w:autoSpaceDE/>
              <w:autoSpaceDN/>
              <w:bidi w:val="0"/>
              <w:adjustRightInd/>
              <w:snapToGrid/>
              <w:spacing w:beforeLines="0" w:afterLines="0" w:line="340" w:lineRule="exact"/>
              <w:jc w:val="center"/>
              <w:textAlignment w:val="auto"/>
              <w:rPr>
                <w:rFonts w:hint="default" w:ascii="Times New Roman" w:hAnsi="Times New Roman" w:eastAsia="仿宋_GB2312" w:cs="Times New Roman"/>
                <w:color w:val="000000"/>
                <w:kern w:val="0"/>
                <w:sz w:val="21"/>
                <w:szCs w:val="21"/>
                <w:lang w:eastAsia="zh-CN"/>
              </w:rPr>
            </w:pPr>
            <w:r>
              <w:rPr>
                <w:rFonts w:hint="default" w:ascii="Times New Roman" w:hAnsi="Times New Roman" w:eastAsia="仿宋_GB2312" w:cs="Times New Roman"/>
                <w:color w:val="000000"/>
                <w:kern w:val="0"/>
                <w:sz w:val="21"/>
                <w:szCs w:val="21"/>
                <w:lang w:eastAsia="zh-CN"/>
              </w:rPr>
              <w:t>农经处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60" w:type="dxa"/>
            <w:vAlign w:val="center"/>
          </w:tcPr>
          <w:p>
            <w:pPr>
              <w:keepNext w:val="0"/>
              <w:keepLines w:val="0"/>
              <w:pageBreakBefore w:val="0"/>
              <w:widowControl/>
              <w:kinsoku/>
              <w:wordWrap/>
              <w:overflowPunct/>
              <w:topLinePunct w:val="0"/>
              <w:autoSpaceDE/>
              <w:autoSpaceDN/>
              <w:bidi w:val="0"/>
              <w:adjustRightInd/>
              <w:snapToGrid/>
              <w:spacing w:beforeLines="0" w:afterLines="0" w:line="34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val="en-US" w:eastAsia="zh-CN"/>
              </w:rPr>
              <w:t>5</w:t>
            </w:r>
          </w:p>
        </w:tc>
        <w:tc>
          <w:tcPr>
            <w:tcW w:w="1432" w:type="dxa"/>
            <w:vAlign w:val="center"/>
          </w:tcPr>
          <w:p>
            <w:pPr>
              <w:keepNext w:val="0"/>
              <w:keepLines w:val="0"/>
              <w:pageBreakBefore w:val="0"/>
              <w:widowControl/>
              <w:kinsoku/>
              <w:wordWrap/>
              <w:overflowPunct/>
              <w:topLinePunct w:val="0"/>
              <w:autoSpaceDE/>
              <w:autoSpaceDN/>
              <w:bidi w:val="0"/>
              <w:adjustRightInd/>
              <w:snapToGrid/>
              <w:spacing w:beforeLines="0" w:afterLines="0" w:line="34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落实最严格水资源管理制度</w:t>
            </w:r>
          </w:p>
        </w:tc>
        <w:tc>
          <w:tcPr>
            <w:tcW w:w="6864" w:type="dxa"/>
            <w:vAlign w:val="center"/>
          </w:tcPr>
          <w:p>
            <w:pPr>
              <w:keepNext w:val="0"/>
              <w:keepLines w:val="0"/>
              <w:pageBreakBefore w:val="0"/>
              <w:widowControl/>
              <w:kinsoku/>
              <w:wordWrap/>
              <w:overflowPunct/>
              <w:topLinePunct w:val="0"/>
              <w:autoSpaceDE/>
              <w:autoSpaceDN/>
              <w:bidi w:val="0"/>
              <w:adjustRightInd/>
              <w:snapToGrid/>
              <w:spacing w:beforeLines="0" w:afterLines="0" w:line="340" w:lineRule="exact"/>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把水资源作为最大刚性约束，坚持以水定城、以水定地、以水定人、以水定产。结合全区经济发展规划，制定不同地区、不同行业取用水红线控制指标，将2021年取水总量控制在73.27亿立方米，黄河水耗水总量控制在43.39亿立方米内。完成银川市、石嘴山市超采区治理。启动贺兰山、六盘山、罗山工业和农业灌溉地下水开采井关停工作。</w:t>
            </w:r>
          </w:p>
        </w:tc>
        <w:tc>
          <w:tcPr>
            <w:tcW w:w="1735" w:type="dxa"/>
            <w:vAlign w:val="center"/>
          </w:tcPr>
          <w:p>
            <w:pPr>
              <w:keepNext w:val="0"/>
              <w:keepLines w:val="0"/>
              <w:pageBreakBefore w:val="0"/>
              <w:widowControl/>
              <w:kinsoku/>
              <w:wordWrap/>
              <w:overflowPunct/>
              <w:topLinePunct w:val="0"/>
              <w:autoSpaceDE/>
              <w:autoSpaceDN/>
              <w:bidi w:val="0"/>
              <w:adjustRightInd/>
              <w:snapToGrid/>
              <w:spacing w:beforeLines="0" w:afterLines="0" w:line="340" w:lineRule="exact"/>
              <w:jc w:val="both"/>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自治区水利厅</w:t>
            </w:r>
          </w:p>
        </w:tc>
        <w:tc>
          <w:tcPr>
            <w:tcW w:w="1690" w:type="dxa"/>
            <w:vAlign w:val="center"/>
          </w:tcPr>
          <w:p>
            <w:pPr>
              <w:keepNext w:val="0"/>
              <w:keepLines w:val="0"/>
              <w:pageBreakBefore w:val="0"/>
              <w:widowControl/>
              <w:kinsoku/>
              <w:wordWrap/>
              <w:overflowPunct/>
              <w:topLinePunct w:val="0"/>
              <w:autoSpaceDE/>
              <w:autoSpaceDN/>
              <w:bidi w:val="0"/>
              <w:adjustRightInd/>
              <w:snapToGrid/>
              <w:spacing w:beforeLines="0" w:afterLines="0" w:line="340" w:lineRule="exact"/>
              <w:jc w:val="center"/>
              <w:textAlignment w:val="auto"/>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自治区发展改革委、工业和信息化厅、自然资源厅、住房城乡建设厅、农业农村厅、生态环境厅</w:t>
            </w:r>
          </w:p>
        </w:tc>
        <w:tc>
          <w:tcPr>
            <w:tcW w:w="1493" w:type="dxa"/>
            <w:vAlign w:val="center"/>
          </w:tcPr>
          <w:p>
            <w:pPr>
              <w:keepNext w:val="0"/>
              <w:keepLines w:val="0"/>
              <w:pageBreakBefore w:val="0"/>
              <w:widowControl/>
              <w:kinsoku/>
              <w:wordWrap/>
              <w:overflowPunct/>
              <w:topLinePunct w:val="0"/>
              <w:autoSpaceDE/>
              <w:autoSpaceDN/>
              <w:bidi w:val="0"/>
              <w:adjustRightInd/>
              <w:snapToGrid/>
              <w:spacing w:beforeLines="0" w:afterLines="0" w:line="340" w:lineRule="exact"/>
              <w:jc w:val="center"/>
              <w:textAlignment w:val="auto"/>
              <w:rPr>
                <w:rFonts w:hint="default" w:ascii="Times New Roman" w:hAnsi="Times New Roman" w:eastAsia="仿宋_GB2312" w:cs="Times New Roman"/>
                <w:color w:val="000000"/>
                <w:kern w:val="0"/>
                <w:sz w:val="21"/>
                <w:szCs w:val="21"/>
                <w:lang w:eastAsia="zh-CN"/>
              </w:rPr>
            </w:pPr>
            <w:r>
              <w:rPr>
                <w:rFonts w:hint="default" w:ascii="Times New Roman" w:hAnsi="Times New Roman" w:eastAsia="仿宋_GB2312" w:cs="Times New Roman"/>
                <w:color w:val="000000"/>
                <w:kern w:val="0"/>
                <w:sz w:val="21"/>
                <w:szCs w:val="21"/>
                <w:lang w:eastAsia="zh-CN"/>
              </w:rPr>
              <w:t>区域处</w:t>
            </w:r>
          </w:p>
          <w:p>
            <w:pPr>
              <w:keepNext w:val="0"/>
              <w:keepLines w:val="0"/>
              <w:pageBreakBefore w:val="0"/>
              <w:widowControl/>
              <w:kinsoku/>
              <w:wordWrap/>
              <w:overflowPunct/>
              <w:topLinePunct w:val="0"/>
              <w:autoSpaceDE/>
              <w:autoSpaceDN/>
              <w:bidi w:val="0"/>
              <w:adjustRightInd/>
              <w:snapToGrid/>
              <w:spacing w:beforeLines="0" w:afterLines="0" w:line="340" w:lineRule="exact"/>
              <w:jc w:val="center"/>
              <w:textAlignment w:val="auto"/>
              <w:rPr>
                <w:rFonts w:hint="default" w:ascii="Times New Roman" w:hAnsi="Times New Roman" w:eastAsia="仿宋_GB2312" w:cs="Times New Roman"/>
                <w:color w:val="000000"/>
                <w:kern w:val="0"/>
                <w:sz w:val="21"/>
                <w:szCs w:val="21"/>
                <w:lang w:eastAsia="zh-CN"/>
              </w:rPr>
            </w:pPr>
            <w:r>
              <w:rPr>
                <w:rFonts w:hint="default" w:ascii="Times New Roman" w:hAnsi="Times New Roman" w:eastAsia="仿宋_GB2312" w:cs="Times New Roman"/>
                <w:color w:val="000000"/>
                <w:kern w:val="0"/>
                <w:sz w:val="21"/>
                <w:szCs w:val="21"/>
                <w:lang w:eastAsia="zh-CN"/>
              </w:rPr>
              <w:t>农经处</w:t>
            </w:r>
          </w:p>
          <w:p>
            <w:pPr>
              <w:keepNext w:val="0"/>
              <w:keepLines w:val="0"/>
              <w:pageBreakBefore w:val="0"/>
              <w:widowControl/>
              <w:kinsoku/>
              <w:wordWrap/>
              <w:overflowPunct/>
              <w:topLinePunct w:val="0"/>
              <w:autoSpaceDE/>
              <w:autoSpaceDN/>
              <w:bidi w:val="0"/>
              <w:adjustRightInd/>
              <w:snapToGrid/>
              <w:spacing w:beforeLines="0" w:afterLines="0" w:line="340" w:lineRule="exact"/>
              <w:jc w:val="center"/>
              <w:textAlignment w:val="auto"/>
              <w:rPr>
                <w:rFonts w:hint="default" w:ascii="Times New Roman" w:hAnsi="Times New Roman" w:eastAsia="仿宋_GB2312" w:cs="Times New Roman"/>
                <w:color w:val="000000"/>
                <w:kern w:val="0"/>
                <w:sz w:val="21"/>
                <w:szCs w:val="21"/>
                <w:lang w:eastAsia="zh-CN"/>
              </w:rPr>
            </w:pPr>
            <w:r>
              <w:rPr>
                <w:rFonts w:hint="default" w:ascii="Times New Roman" w:hAnsi="Times New Roman" w:eastAsia="仿宋_GB2312" w:cs="Times New Roman"/>
                <w:color w:val="000000"/>
                <w:kern w:val="0"/>
                <w:sz w:val="21"/>
                <w:szCs w:val="21"/>
                <w:lang w:eastAsia="zh-CN"/>
              </w:rPr>
              <w:t>产业处</w:t>
            </w:r>
          </w:p>
          <w:p>
            <w:pPr>
              <w:keepNext w:val="0"/>
              <w:keepLines w:val="0"/>
              <w:pageBreakBefore w:val="0"/>
              <w:widowControl/>
              <w:kinsoku/>
              <w:wordWrap/>
              <w:overflowPunct/>
              <w:topLinePunct w:val="0"/>
              <w:autoSpaceDE/>
              <w:autoSpaceDN/>
              <w:bidi w:val="0"/>
              <w:adjustRightInd/>
              <w:snapToGrid/>
              <w:spacing w:beforeLines="0" w:afterLines="0" w:line="340" w:lineRule="exact"/>
              <w:jc w:val="center"/>
              <w:textAlignment w:val="auto"/>
              <w:rPr>
                <w:rFonts w:hint="default" w:ascii="Times New Roman" w:hAnsi="Times New Roman" w:eastAsia="仿宋_GB2312" w:cs="Times New Roman"/>
                <w:color w:val="000000"/>
                <w:kern w:val="0"/>
                <w:sz w:val="21"/>
                <w:szCs w:val="21"/>
                <w:lang w:eastAsia="zh-CN"/>
              </w:rPr>
            </w:pPr>
            <w:r>
              <w:rPr>
                <w:rFonts w:hint="default" w:ascii="Times New Roman" w:hAnsi="Times New Roman" w:eastAsia="仿宋_GB2312" w:cs="Times New Roman"/>
                <w:color w:val="000000"/>
                <w:kern w:val="0"/>
                <w:sz w:val="21"/>
                <w:szCs w:val="21"/>
                <w:lang w:eastAsia="zh-CN"/>
              </w:rPr>
              <w:t>投资处</w:t>
            </w:r>
          </w:p>
        </w:tc>
      </w:tr>
    </w:tbl>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0" w:firstLineChars="0"/>
        <w:jc w:val="left"/>
        <w:textAlignment w:val="auto"/>
        <w:outlineLvl w:val="1"/>
        <w:rPr>
          <w:rFonts w:hint="default" w:ascii="Times New Roman" w:hAnsi="Times New Roman" w:eastAsia="黑体" w:cs="Times New Roman"/>
          <w:b w:val="0"/>
          <w:bCs/>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0" w:firstLineChars="0"/>
        <w:jc w:val="left"/>
        <w:textAlignment w:val="auto"/>
        <w:outlineLvl w:val="1"/>
        <w:rPr>
          <w:rFonts w:hint="default" w:ascii="Times New Roman" w:hAnsi="Times New Roman" w:eastAsia="黑体" w:cs="Times New Roman"/>
          <w:b w:val="0"/>
          <w:bCs/>
          <w:sz w:val="32"/>
          <w:szCs w:val="32"/>
          <w:lang w:val="en-US" w:eastAsia="zh-CN"/>
        </w:rPr>
      </w:pPr>
      <w:bookmarkStart w:id="3" w:name="_GoBack"/>
      <w:bookmarkEnd w:id="3"/>
      <w:r>
        <w:rPr>
          <w:rFonts w:hint="default" w:ascii="Times New Roman" w:hAnsi="Times New Roman" w:eastAsia="黑体" w:cs="Times New Roman"/>
          <w:b w:val="0"/>
          <w:bCs/>
          <w:sz w:val="32"/>
          <w:szCs w:val="32"/>
          <w:lang w:val="en-US" w:eastAsia="zh-CN"/>
        </w:rPr>
        <w:t>附表3</w:t>
      </w:r>
    </w:p>
    <w:p>
      <w:pPr>
        <w:keepNext w:val="0"/>
        <w:keepLines w:val="0"/>
        <w:pageBreakBefore w:val="0"/>
        <w:widowControl w:val="0"/>
        <w:kinsoku/>
        <w:wordWrap/>
        <w:overflowPunct/>
        <w:topLinePunct w:val="0"/>
        <w:autoSpaceDE/>
        <w:autoSpaceDN/>
        <w:bidi w:val="0"/>
        <w:adjustRightInd/>
        <w:snapToGrid/>
        <w:spacing w:after="0" w:afterLines="0" w:line="520" w:lineRule="exact"/>
        <w:ind w:left="0" w:leftChars="0" w:right="0" w:rightChars="0" w:firstLine="0" w:firstLineChars="0"/>
        <w:jc w:val="center"/>
        <w:textAlignment w:val="auto"/>
        <w:outlineLvl w:val="9"/>
        <w:rPr>
          <w:rFonts w:hint="default" w:ascii="Times New Roman" w:hAnsi="Times New Roman" w:eastAsia="方正小标宋_GBK" w:cs="Times New Roman"/>
          <w:sz w:val="36"/>
          <w:szCs w:val="36"/>
          <w:lang w:eastAsia="zh-CN"/>
        </w:rPr>
      </w:pPr>
      <w:r>
        <w:rPr>
          <w:rFonts w:hint="default" w:ascii="Times New Roman" w:hAnsi="Times New Roman" w:eastAsia="方正小标宋_GBK" w:cs="Times New Roman"/>
          <w:sz w:val="36"/>
          <w:szCs w:val="36"/>
          <w:lang w:eastAsia="zh-CN"/>
        </w:rPr>
        <w:t>自治区发展改革委</w:t>
      </w:r>
      <w:r>
        <w:rPr>
          <w:rFonts w:hint="default" w:ascii="Times New Roman" w:hAnsi="Times New Roman" w:eastAsia="方正小标宋_GBK" w:cs="Times New Roman"/>
          <w:sz w:val="36"/>
          <w:szCs w:val="36"/>
        </w:rPr>
        <w:t>202</w:t>
      </w:r>
      <w:r>
        <w:rPr>
          <w:rFonts w:hint="default" w:ascii="Times New Roman" w:hAnsi="Times New Roman" w:eastAsia="方正小标宋_GBK" w:cs="Times New Roman"/>
          <w:sz w:val="36"/>
          <w:szCs w:val="36"/>
          <w:lang w:val="en-US" w:eastAsia="zh-CN"/>
        </w:rPr>
        <w:t>1</w:t>
      </w:r>
      <w:r>
        <w:rPr>
          <w:rFonts w:hint="default" w:ascii="Times New Roman" w:hAnsi="Times New Roman" w:eastAsia="方正小标宋_GBK" w:cs="Times New Roman"/>
          <w:sz w:val="36"/>
          <w:szCs w:val="36"/>
        </w:rPr>
        <w:t>年全区应对气候变化重点工作</w:t>
      </w:r>
      <w:r>
        <w:rPr>
          <w:rFonts w:hint="default" w:ascii="Times New Roman" w:hAnsi="Times New Roman" w:eastAsia="方正小标宋_GBK" w:cs="Times New Roman"/>
          <w:sz w:val="36"/>
          <w:szCs w:val="36"/>
          <w:lang w:eastAsia="zh-CN"/>
        </w:rPr>
        <w:t>任务分工清单</w:t>
      </w:r>
    </w:p>
    <w:tbl>
      <w:tblPr>
        <w:tblStyle w:val="8"/>
        <w:tblW w:w="14217" w:type="dxa"/>
        <w:jc w:val="center"/>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259"/>
        <w:gridCol w:w="6964"/>
        <w:gridCol w:w="1916"/>
        <w:gridCol w:w="1645"/>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blHeader/>
          <w:jc w:val="center"/>
        </w:trPr>
        <w:tc>
          <w:tcPr>
            <w:tcW w:w="645" w:type="dxa"/>
            <w:vAlign w:val="center"/>
          </w:tcPr>
          <w:p>
            <w:pPr>
              <w:spacing w:beforeLines="0" w:afterLines="0" w:line="3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序号</w:t>
            </w:r>
          </w:p>
        </w:tc>
        <w:tc>
          <w:tcPr>
            <w:tcW w:w="8223" w:type="dxa"/>
            <w:gridSpan w:val="2"/>
            <w:vAlign w:val="center"/>
          </w:tcPr>
          <w:p>
            <w:pPr>
              <w:spacing w:beforeLines="0" w:afterLines="0" w:line="3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重点任务</w:t>
            </w:r>
          </w:p>
        </w:tc>
        <w:tc>
          <w:tcPr>
            <w:tcW w:w="1916" w:type="dxa"/>
            <w:vAlign w:val="center"/>
          </w:tcPr>
          <w:p>
            <w:pPr>
              <w:spacing w:beforeLines="0" w:afterLines="0" w:line="300" w:lineRule="exact"/>
              <w:jc w:val="center"/>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rPr>
              <w:t>牵头</w:t>
            </w:r>
            <w:r>
              <w:rPr>
                <w:rFonts w:hint="default" w:ascii="Times New Roman" w:hAnsi="Times New Roman" w:eastAsia="仿宋_GB2312" w:cs="Times New Roman"/>
                <w:sz w:val="21"/>
                <w:szCs w:val="21"/>
                <w:lang w:eastAsia="zh-CN"/>
              </w:rPr>
              <w:t>单位</w:t>
            </w:r>
          </w:p>
        </w:tc>
        <w:tc>
          <w:tcPr>
            <w:tcW w:w="1645" w:type="dxa"/>
            <w:vAlign w:val="center"/>
          </w:tcPr>
          <w:p>
            <w:pPr>
              <w:spacing w:beforeLines="0" w:afterLines="0" w:line="300" w:lineRule="exact"/>
              <w:jc w:val="center"/>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参与单位</w:t>
            </w:r>
          </w:p>
        </w:tc>
        <w:tc>
          <w:tcPr>
            <w:tcW w:w="1788" w:type="dxa"/>
            <w:vAlign w:val="center"/>
          </w:tcPr>
          <w:p>
            <w:pPr>
              <w:spacing w:beforeLines="0" w:afterLines="0" w:line="300" w:lineRule="exact"/>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责任</w:t>
            </w:r>
            <w:r>
              <w:rPr>
                <w:rFonts w:hint="default" w:ascii="Times New Roman" w:hAnsi="Times New Roman" w:eastAsia="仿宋_GB2312" w:cs="Times New Roman"/>
                <w:sz w:val="21"/>
                <w:szCs w:val="21"/>
              </w:rPr>
              <w:t>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14217" w:type="dxa"/>
            <w:gridSpan w:val="6"/>
            <w:vAlign w:val="center"/>
          </w:tcPr>
          <w:p>
            <w:pPr>
              <w:tabs>
                <w:tab w:val="left" w:pos="1645"/>
              </w:tabs>
              <w:spacing w:beforeLines="0" w:afterLines="0" w:line="300" w:lineRule="exact"/>
              <w:jc w:val="both"/>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b/>
                <w:bCs/>
                <w:sz w:val="21"/>
                <w:szCs w:val="21"/>
                <w:lang w:eastAsia="zh-CN"/>
              </w:rPr>
              <w:t>牵头任务（</w:t>
            </w:r>
            <w:r>
              <w:rPr>
                <w:rFonts w:hint="default" w:ascii="Times New Roman" w:hAnsi="Times New Roman" w:eastAsia="仿宋_GB2312" w:cs="Times New Roman"/>
                <w:b/>
                <w:bCs/>
                <w:sz w:val="21"/>
                <w:szCs w:val="21"/>
                <w:lang w:val="en-US" w:eastAsia="zh-CN"/>
              </w:rPr>
              <w:t>12项</w:t>
            </w:r>
            <w:r>
              <w:rPr>
                <w:rFonts w:hint="default" w:ascii="Times New Roman" w:hAnsi="Times New Roman" w:eastAsia="仿宋_GB2312" w:cs="Times New Roman"/>
                <w:b/>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45" w:type="dxa"/>
            <w:vAlign w:val="center"/>
          </w:tcPr>
          <w:p>
            <w:pPr>
              <w:widowControl/>
              <w:spacing w:beforeLines="0" w:afterLines="0" w:line="30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1</w:t>
            </w:r>
          </w:p>
        </w:tc>
        <w:tc>
          <w:tcPr>
            <w:tcW w:w="1259" w:type="dxa"/>
            <w:vAlign w:val="center"/>
          </w:tcPr>
          <w:p>
            <w:pPr>
              <w:widowControl/>
              <w:spacing w:beforeLines="0" w:afterLines="0" w:line="30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培育新兴产业领军企业</w:t>
            </w:r>
          </w:p>
        </w:tc>
        <w:tc>
          <w:tcPr>
            <w:tcW w:w="6964" w:type="dxa"/>
            <w:vAlign w:val="center"/>
          </w:tcPr>
          <w:p>
            <w:pPr>
              <w:widowControl/>
              <w:spacing w:beforeLines="0" w:afterLines="0" w:line="300" w:lineRule="exact"/>
              <w:jc w:val="both"/>
              <w:rPr>
                <w:rFonts w:hint="default" w:ascii="Times New Roman" w:hAnsi="Times New Roman" w:eastAsia="仿宋_GB2312" w:cs="Times New Roman"/>
                <w:color w:val="000000"/>
                <w:kern w:val="0"/>
                <w:sz w:val="21"/>
                <w:szCs w:val="21"/>
                <w:lang w:eastAsia="zh-CN"/>
              </w:rPr>
            </w:pPr>
            <w:r>
              <w:rPr>
                <w:rFonts w:hint="default" w:ascii="Times New Roman" w:hAnsi="Times New Roman" w:eastAsia="仿宋_GB2312" w:cs="Times New Roman"/>
                <w:color w:val="000000"/>
                <w:kern w:val="0"/>
                <w:sz w:val="21"/>
                <w:szCs w:val="21"/>
              </w:rPr>
              <w:t>加大新兴产业重点领域对外合作力度，鼓励企业兼并联合，延伸和扩展产业链，着力培育发展一批规模大、水平高、品牌响、带动强的领军企业，在新材料、仪器仪表、专用设备、3D打印等领域培育一批单项冠军</w:t>
            </w:r>
            <w:r>
              <w:rPr>
                <w:rFonts w:hint="default" w:ascii="Times New Roman" w:hAnsi="Times New Roman" w:eastAsia="仿宋_GB2312" w:cs="Times New Roman"/>
                <w:color w:val="000000"/>
                <w:kern w:val="0"/>
                <w:sz w:val="21"/>
                <w:szCs w:val="21"/>
                <w:lang w:eastAsia="zh-CN"/>
              </w:rPr>
              <w:t>。</w:t>
            </w:r>
          </w:p>
        </w:tc>
        <w:tc>
          <w:tcPr>
            <w:tcW w:w="1916" w:type="dxa"/>
            <w:vAlign w:val="center"/>
          </w:tcPr>
          <w:p>
            <w:pPr>
              <w:widowControl/>
              <w:spacing w:beforeLines="0" w:afterLines="0" w:line="30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自治区发展改革委、工业和信息化厅</w:t>
            </w:r>
          </w:p>
        </w:tc>
        <w:tc>
          <w:tcPr>
            <w:tcW w:w="1645" w:type="dxa"/>
            <w:vAlign w:val="center"/>
          </w:tcPr>
          <w:p>
            <w:pPr>
              <w:widowControl/>
              <w:spacing w:beforeLines="0" w:afterLines="0" w:line="300" w:lineRule="exact"/>
              <w:jc w:val="center"/>
              <w:rPr>
                <w:rFonts w:hint="default" w:ascii="Times New Roman" w:hAnsi="Times New Roman" w:eastAsia="仿宋_GB2312" w:cs="Times New Roman"/>
                <w:color w:val="000000"/>
                <w:kern w:val="0"/>
                <w:sz w:val="21"/>
                <w:szCs w:val="21"/>
              </w:rPr>
            </w:pPr>
          </w:p>
        </w:tc>
        <w:tc>
          <w:tcPr>
            <w:tcW w:w="1788" w:type="dxa"/>
            <w:vAlign w:val="center"/>
          </w:tcPr>
          <w:p>
            <w:pPr>
              <w:widowControl/>
              <w:spacing w:beforeLines="0" w:afterLines="0" w:line="300" w:lineRule="exact"/>
              <w:jc w:val="center"/>
              <w:rPr>
                <w:rFonts w:hint="default" w:ascii="Times New Roman" w:hAnsi="Times New Roman" w:eastAsia="仿宋_GB2312" w:cs="Times New Roman"/>
                <w:color w:val="000000"/>
                <w:kern w:val="0"/>
                <w:sz w:val="21"/>
                <w:szCs w:val="21"/>
                <w:lang w:eastAsia="zh-CN"/>
              </w:rPr>
            </w:pPr>
            <w:r>
              <w:rPr>
                <w:rFonts w:hint="default" w:ascii="Times New Roman" w:hAnsi="Times New Roman" w:eastAsia="仿宋_GB2312" w:cs="Times New Roman"/>
                <w:color w:val="000000"/>
                <w:kern w:val="0"/>
                <w:sz w:val="21"/>
                <w:szCs w:val="21"/>
                <w:lang w:eastAsia="zh-CN"/>
              </w:rPr>
              <w:t>创新高技术处</w:t>
            </w:r>
          </w:p>
          <w:p>
            <w:pPr>
              <w:widowControl/>
              <w:spacing w:beforeLines="0" w:afterLines="0" w:line="300" w:lineRule="exact"/>
              <w:jc w:val="center"/>
              <w:rPr>
                <w:rFonts w:hint="default" w:ascii="Times New Roman" w:hAnsi="Times New Roman" w:eastAsia="仿宋_GB2312" w:cs="Times New Roman"/>
                <w:color w:val="000000"/>
                <w:kern w:val="0"/>
                <w:sz w:val="21"/>
                <w:szCs w:val="21"/>
                <w:lang w:eastAsia="zh-CN"/>
              </w:rPr>
            </w:pPr>
            <w:r>
              <w:rPr>
                <w:rFonts w:hint="default" w:ascii="Times New Roman" w:hAnsi="Times New Roman" w:eastAsia="仿宋_GB2312" w:cs="Times New Roman"/>
                <w:color w:val="000000"/>
                <w:kern w:val="0"/>
                <w:sz w:val="21"/>
                <w:szCs w:val="21"/>
                <w:lang w:eastAsia="zh-CN"/>
              </w:rPr>
              <w:t>产业处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45" w:type="dxa"/>
            <w:vAlign w:val="center"/>
          </w:tcPr>
          <w:p>
            <w:pPr>
              <w:widowControl/>
              <w:spacing w:beforeLines="0" w:afterLines="0" w:line="30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2</w:t>
            </w:r>
          </w:p>
        </w:tc>
        <w:tc>
          <w:tcPr>
            <w:tcW w:w="1259" w:type="dxa"/>
            <w:vAlign w:val="center"/>
          </w:tcPr>
          <w:p>
            <w:pPr>
              <w:widowControl/>
              <w:spacing w:beforeLines="0" w:afterLines="0" w:line="30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做优做强主导产业</w:t>
            </w:r>
          </w:p>
        </w:tc>
        <w:tc>
          <w:tcPr>
            <w:tcW w:w="6964" w:type="dxa"/>
            <w:vAlign w:val="center"/>
          </w:tcPr>
          <w:p>
            <w:pPr>
              <w:widowControl/>
              <w:spacing w:beforeLines="0" w:afterLines="0" w:line="300" w:lineRule="exact"/>
              <w:jc w:val="both"/>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扎实落实自治区九大重点产业高质量发展实施方案各项措施任务，推动重点产业高质量发展。以优势特色产业为重点，推动粮油、乳制品、葡萄酒、枸杞、果蔬、肉牛和滩羊等绿色食品产业发展。推动宁东能源化工基地与吴忠太阳山开发区一体化发展，打造千亿级煤化工产业集群，高水平建设国家现代煤化工产业示范区。</w:t>
            </w:r>
          </w:p>
        </w:tc>
        <w:tc>
          <w:tcPr>
            <w:tcW w:w="1916" w:type="dxa"/>
            <w:vAlign w:val="center"/>
          </w:tcPr>
          <w:p>
            <w:pPr>
              <w:widowControl/>
              <w:spacing w:beforeLines="0" w:afterLines="0" w:line="30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自治区发展改革委、农业农村厅、林业和草原局牵头</w:t>
            </w:r>
          </w:p>
        </w:tc>
        <w:tc>
          <w:tcPr>
            <w:tcW w:w="1645" w:type="dxa"/>
            <w:vAlign w:val="center"/>
          </w:tcPr>
          <w:p>
            <w:pPr>
              <w:widowControl/>
              <w:spacing w:beforeLines="0" w:afterLines="0" w:line="30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eastAsia="zh-CN"/>
              </w:rPr>
              <w:t>自治区</w:t>
            </w:r>
            <w:r>
              <w:rPr>
                <w:rFonts w:hint="default" w:ascii="Times New Roman" w:hAnsi="Times New Roman" w:eastAsia="仿宋_GB2312" w:cs="Times New Roman"/>
                <w:color w:val="000000"/>
                <w:kern w:val="0"/>
                <w:sz w:val="21"/>
                <w:szCs w:val="21"/>
              </w:rPr>
              <w:t>工业和信息化厅</w:t>
            </w:r>
          </w:p>
        </w:tc>
        <w:tc>
          <w:tcPr>
            <w:tcW w:w="1788" w:type="dxa"/>
            <w:vAlign w:val="center"/>
          </w:tcPr>
          <w:p>
            <w:pPr>
              <w:widowControl/>
              <w:spacing w:beforeLines="0" w:afterLines="0" w:line="300" w:lineRule="exact"/>
              <w:jc w:val="center"/>
              <w:rPr>
                <w:rFonts w:hint="default" w:ascii="Times New Roman" w:hAnsi="Times New Roman" w:eastAsia="仿宋_GB2312" w:cs="Times New Roman"/>
                <w:color w:val="000000"/>
                <w:kern w:val="0"/>
                <w:sz w:val="21"/>
                <w:szCs w:val="21"/>
                <w:lang w:eastAsia="zh-CN"/>
              </w:rPr>
            </w:pPr>
            <w:r>
              <w:rPr>
                <w:rFonts w:hint="default" w:ascii="Times New Roman" w:hAnsi="Times New Roman" w:eastAsia="仿宋_GB2312" w:cs="Times New Roman"/>
                <w:color w:val="000000"/>
                <w:kern w:val="0"/>
                <w:sz w:val="21"/>
                <w:szCs w:val="21"/>
                <w:lang w:eastAsia="zh-CN"/>
              </w:rPr>
              <w:t>能源发展处</w:t>
            </w:r>
          </w:p>
          <w:p>
            <w:pPr>
              <w:widowControl/>
              <w:spacing w:beforeLines="0" w:afterLines="0" w:line="300" w:lineRule="exact"/>
              <w:jc w:val="center"/>
              <w:rPr>
                <w:rFonts w:hint="default" w:ascii="Times New Roman" w:hAnsi="Times New Roman" w:eastAsia="仿宋_GB2312" w:cs="Times New Roman"/>
                <w:color w:val="000000"/>
                <w:kern w:val="0"/>
                <w:sz w:val="21"/>
                <w:szCs w:val="21"/>
                <w:lang w:eastAsia="zh-CN"/>
              </w:rPr>
            </w:pPr>
            <w:r>
              <w:rPr>
                <w:rFonts w:hint="default" w:ascii="Times New Roman" w:hAnsi="Times New Roman" w:eastAsia="仿宋_GB2312" w:cs="Times New Roman"/>
                <w:color w:val="000000"/>
                <w:kern w:val="0"/>
                <w:sz w:val="21"/>
                <w:szCs w:val="21"/>
                <w:lang w:eastAsia="zh-CN"/>
              </w:rPr>
              <w:t>产业处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45" w:type="dxa"/>
            <w:vAlign w:val="center"/>
          </w:tcPr>
          <w:p>
            <w:pPr>
              <w:widowControl/>
              <w:spacing w:beforeLines="0" w:afterLines="0" w:line="30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3</w:t>
            </w:r>
          </w:p>
        </w:tc>
        <w:tc>
          <w:tcPr>
            <w:tcW w:w="1259" w:type="dxa"/>
            <w:vAlign w:val="center"/>
          </w:tcPr>
          <w:p>
            <w:pPr>
              <w:widowControl/>
              <w:spacing w:beforeLines="0" w:afterLines="0" w:line="30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提档发展生产性服务业</w:t>
            </w:r>
          </w:p>
        </w:tc>
        <w:tc>
          <w:tcPr>
            <w:tcW w:w="6964" w:type="dxa"/>
            <w:vAlign w:val="center"/>
          </w:tcPr>
          <w:p>
            <w:pPr>
              <w:widowControl/>
              <w:spacing w:beforeLines="0" w:afterLines="0" w:line="300" w:lineRule="exact"/>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以产业升级需求为导向，依托城市和工业园区，进一步优化资源要素配置，集成服务业功能，促进生产性服务业市场化、专业化、集聚化发展，推进生产性服务业向专业化和价值链高端延伸，提升对全产业链的支撑力度。</w:t>
            </w:r>
          </w:p>
        </w:tc>
        <w:tc>
          <w:tcPr>
            <w:tcW w:w="1916" w:type="dxa"/>
            <w:vAlign w:val="center"/>
          </w:tcPr>
          <w:p>
            <w:pPr>
              <w:widowControl/>
              <w:spacing w:beforeLines="0" w:afterLines="0" w:line="30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自治区发展改革委、商务厅</w:t>
            </w:r>
          </w:p>
        </w:tc>
        <w:tc>
          <w:tcPr>
            <w:tcW w:w="1645" w:type="dxa"/>
            <w:vAlign w:val="center"/>
          </w:tcPr>
          <w:p>
            <w:pPr>
              <w:widowControl/>
              <w:spacing w:beforeLines="0" w:afterLines="0" w:line="300" w:lineRule="exact"/>
              <w:jc w:val="both"/>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自治区科技厅、工业和信息化厅、人力资源社会保障厅、市场监督管理厅、通信管理局、地方金融监管局</w:t>
            </w:r>
          </w:p>
        </w:tc>
        <w:tc>
          <w:tcPr>
            <w:tcW w:w="1788" w:type="dxa"/>
            <w:vAlign w:val="center"/>
          </w:tcPr>
          <w:p>
            <w:pPr>
              <w:widowControl/>
              <w:spacing w:beforeLines="0" w:afterLines="0" w:line="300" w:lineRule="exact"/>
              <w:jc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val="en-US" w:eastAsia="zh-CN"/>
              </w:rPr>
              <w:t>服务业处牵头，产业处、经财信用处配合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1" w:hRule="atLeast"/>
          <w:jc w:val="center"/>
        </w:trPr>
        <w:tc>
          <w:tcPr>
            <w:tcW w:w="645" w:type="dxa"/>
            <w:vAlign w:val="center"/>
          </w:tcPr>
          <w:p>
            <w:pPr>
              <w:widowControl/>
              <w:spacing w:beforeLines="0" w:afterLines="0" w:line="300" w:lineRule="exact"/>
              <w:jc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val="en-US" w:eastAsia="zh-CN"/>
              </w:rPr>
              <w:t>4</w:t>
            </w:r>
          </w:p>
        </w:tc>
        <w:tc>
          <w:tcPr>
            <w:tcW w:w="1259" w:type="dxa"/>
            <w:vAlign w:val="center"/>
          </w:tcPr>
          <w:p>
            <w:pPr>
              <w:widowControl/>
              <w:spacing w:beforeLines="0" w:afterLines="0" w:line="30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实施能源消费总量和强度双控</w:t>
            </w:r>
          </w:p>
        </w:tc>
        <w:tc>
          <w:tcPr>
            <w:tcW w:w="6964" w:type="dxa"/>
            <w:vAlign w:val="center"/>
          </w:tcPr>
          <w:p>
            <w:pPr>
              <w:widowControl/>
              <w:spacing w:beforeLines="0" w:afterLines="0" w:line="300" w:lineRule="exact"/>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持续落实能源消费总量和强度指标，加强能耗双控目标完成形势分析预警，严格目标责任落实和评价考核。加强重点用能单位节能管理，强化节能监察，持续提升能效，推进冶金、化工、电力、建材等重点耗能行业、企业实施节能低碳技术改造，加快淘汰落后用能设备。提升智慧能源发展，提高数字化、智能化等新一代信息技术在能源管理的应用和快速渗透，为传统产业挖掘更深层次的节能潜力。2021年，全区能源消费总量控制在260万吨标准煤以内，单位国内生产总值能源消费比2020年下降3.3%。</w:t>
            </w:r>
          </w:p>
        </w:tc>
        <w:tc>
          <w:tcPr>
            <w:tcW w:w="1916" w:type="dxa"/>
            <w:vAlign w:val="center"/>
          </w:tcPr>
          <w:p>
            <w:pPr>
              <w:widowControl/>
              <w:spacing w:beforeLines="0" w:afterLines="0" w:line="30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自治区发展改革委、工业和信息化厅牵头</w:t>
            </w:r>
          </w:p>
        </w:tc>
        <w:tc>
          <w:tcPr>
            <w:tcW w:w="1645" w:type="dxa"/>
            <w:vAlign w:val="center"/>
          </w:tcPr>
          <w:p>
            <w:pPr>
              <w:widowControl/>
              <w:spacing w:beforeLines="0" w:afterLines="0" w:line="300" w:lineRule="exact"/>
              <w:jc w:val="both"/>
              <w:rPr>
                <w:rFonts w:hint="default" w:ascii="Times New Roman" w:hAnsi="Times New Roman" w:eastAsia="仿宋_GB2312" w:cs="Times New Roman"/>
                <w:color w:val="000000"/>
                <w:kern w:val="0"/>
                <w:sz w:val="21"/>
                <w:szCs w:val="21"/>
              </w:rPr>
            </w:pPr>
          </w:p>
        </w:tc>
        <w:tc>
          <w:tcPr>
            <w:tcW w:w="1788" w:type="dxa"/>
            <w:vAlign w:val="center"/>
          </w:tcPr>
          <w:p>
            <w:pPr>
              <w:widowControl/>
              <w:spacing w:beforeLines="0" w:afterLines="0" w:line="300" w:lineRule="exact"/>
              <w:jc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val="en-US" w:eastAsia="zh-CN"/>
              </w:rPr>
              <w:t>环资处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3" w:hRule="atLeast"/>
          <w:jc w:val="center"/>
        </w:trPr>
        <w:tc>
          <w:tcPr>
            <w:tcW w:w="645" w:type="dxa"/>
            <w:vAlign w:val="center"/>
          </w:tcPr>
          <w:p>
            <w:pPr>
              <w:widowControl/>
              <w:spacing w:beforeLines="0" w:afterLines="0" w:line="300" w:lineRule="exact"/>
              <w:jc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val="en-US" w:eastAsia="zh-CN"/>
              </w:rPr>
              <w:t>5</w:t>
            </w:r>
          </w:p>
        </w:tc>
        <w:tc>
          <w:tcPr>
            <w:tcW w:w="1259" w:type="dxa"/>
            <w:vAlign w:val="center"/>
          </w:tcPr>
          <w:p>
            <w:pPr>
              <w:widowControl/>
              <w:spacing w:beforeLines="0" w:afterLines="0" w:line="30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推动煤炭消费尽早达峰</w:t>
            </w:r>
          </w:p>
        </w:tc>
        <w:tc>
          <w:tcPr>
            <w:tcW w:w="6964" w:type="dxa"/>
            <w:vAlign w:val="center"/>
          </w:tcPr>
          <w:p>
            <w:pPr>
              <w:widowControl/>
              <w:spacing w:beforeLines="0" w:afterLines="0" w:line="300" w:lineRule="exact"/>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严格控制煤炭消费总量和开发利用强度，石油消费保持基本稳定，优化天然气使用方向。从严执行重点耗煤行业准入，合理控制发电用煤，严格控制钢铁石化行业煤炭消费总量。新建、改建、扩建耗煤项目节能审查严格执行煤炭减量等量替代。削减中小型燃煤锅炉、工业炉窑、民用散煤与农业用煤。加快推动青石峁气田、定北气田合作开发，新增天然气量优先用于城镇居民生活和冬季采暖散煤替代。</w:t>
            </w:r>
          </w:p>
        </w:tc>
        <w:tc>
          <w:tcPr>
            <w:tcW w:w="1916" w:type="dxa"/>
            <w:vAlign w:val="center"/>
          </w:tcPr>
          <w:p>
            <w:pPr>
              <w:widowControl/>
              <w:spacing w:beforeLines="0" w:afterLines="0" w:line="30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自治区发展改革委</w:t>
            </w:r>
          </w:p>
        </w:tc>
        <w:tc>
          <w:tcPr>
            <w:tcW w:w="1645" w:type="dxa"/>
            <w:vAlign w:val="center"/>
          </w:tcPr>
          <w:p>
            <w:pPr>
              <w:widowControl/>
              <w:spacing w:beforeLines="0" w:afterLines="0" w:line="30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自治区住房城乡建设厅</w:t>
            </w:r>
          </w:p>
        </w:tc>
        <w:tc>
          <w:tcPr>
            <w:tcW w:w="1788" w:type="dxa"/>
            <w:vAlign w:val="center"/>
          </w:tcPr>
          <w:p>
            <w:pPr>
              <w:widowControl/>
              <w:spacing w:beforeLines="0" w:afterLines="0" w:line="300" w:lineRule="exact"/>
              <w:jc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val="en-US" w:eastAsia="zh-CN"/>
              </w:rPr>
              <w:t>环资处</w:t>
            </w:r>
          </w:p>
          <w:p>
            <w:pPr>
              <w:widowControl/>
              <w:spacing w:beforeLines="0" w:afterLines="0" w:line="300" w:lineRule="exact"/>
              <w:jc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val="en-US" w:eastAsia="zh-CN"/>
              </w:rPr>
              <w:t>能源管理处</w:t>
            </w:r>
          </w:p>
          <w:p>
            <w:pPr>
              <w:widowControl/>
              <w:spacing w:beforeLines="0" w:afterLines="0" w:line="300" w:lineRule="exact"/>
              <w:jc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val="en-US" w:eastAsia="zh-CN"/>
              </w:rPr>
              <w:t>运行处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5" w:hRule="atLeast"/>
          <w:jc w:val="center"/>
        </w:trPr>
        <w:tc>
          <w:tcPr>
            <w:tcW w:w="645" w:type="dxa"/>
            <w:vAlign w:val="center"/>
          </w:tcPr>
          <w:p>
            <w:pPr>
              <w:widowControl/>
              <w:spacing w:beforeLines="0" w:afterLines="0" w:line="300" w:lineRule="exact"/>
              <w:jc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val="en-US" w:eastAsia="zh-CN"/>
              </w:rPr>
              <w:t>6</w:t>
            </w:r>
          </w:p>
        </w:tc>
        <w:tc>
          <w:tcPr>
            <w:tcW w:w="1259" w:type="dxa"/>
            <w:vAlign w:val="center"/>
          </w:tcPr>
          <w:p>
            <w:pPr>
              <w:widowControl/>
              <w:spacing w:beforeLines="0" w:afterLines="0" w:line="30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加快清洁能源推广利用</w:t>
            </w:r>
          </w:p>
        </w:tc>
        <w:tc>
          <w:tcPr>
            <w:tcW w:w="6964" w:type="dxa"/>
            <w:vAlign w:val="center"/>
          </w:tcPr>
          <w:p>
            <w:pPr>
              <w:widowControl/>
              <w:spacing w:beforeLines="0" w:afterLines="0" w:line="300" w:lineRule="exact"/>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有序发展风电。适时推动太阳山、贺兰山、中宁县等区域老旧风电场“以大代小”更新试点。大力发展太阳能发电。持续推进中宁县、红寺堡区、盐池县、同心县等地光伏发电项目建设，积极推动清洁能源产业一体化配套发展。积极发展其他新能源。鼓励生物质秸秆资源相对丰富区有序发展生物质能成型燃料，有序推进固原市、中卫市、石嘴山市城市垃圾焚烧发电项目建设。鼓励干热岩、地源热泵等地热资源开发技术在城市供暖、健康旅游等领域的利用。到2021年底，全区新能源电力装机力争达到2790万千瓦，比重达到45%以上，非化石能源占一次能源消费比重保持在10%左右。</w:t>
            </w:r>
          </w:p>
        </w:tc>
        <w:tc>
          <w:tcPr>
            <w:tcW w:w="1916" w:type="dxa"/>
            <w:vAlign w:val="center"/>
          </w:tcPr>
          <w:p>
            <w:pPr>
              <w:widowControl/>
              <w:spacing w:beforeLines="0" w:afterLines="0" w:line="30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自治区发展改革委、国家电网宁夏电力公司</w:t>
            </w:r>
          </w:p>
        </w:tc>
        <w:tc>
          <w:tcPr>
            <w:tcW w:w="1645" w:type="dxa"/>
            <w:vAlign w:val="center"/>
          </w:tcPr>
          <w:p>
            <w:pPr>
              <w:widowControl/>
              <w:spacing w:beforeLines="0" w:afterLines="0" w:line="30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自治区科技厅、工业和信息化厅、住房城乡建设厅</w:t>
            </w:r>
          </w:p>
        </w:tc>
        <w:tc>
          <w:tcPr>
            <w:tcW w:w="1788" w:type="dxa"/>
            <w:vAlign w:val="center"/>
          </w:tcPr>
          <w:p>
            <w:pPr>
              <w:widowControl/>
              <w:spacing w:beforeLines="0" w:afterLines="0" w:line="300" w:lineRule="exact"/>
              <w:jc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val="en-US" w:eastAsia="zh-CN"/>
              </w:rPr>
              <w:t>能源发展处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3" w:hRule="atLeast"/>
          <w:jc w:val="center"/>
        </w:trPr>
        <w:tc>
          <w:tcPr>
            <w:tcW w:w="645" w:type="dxa"/>
            <w:vAlign w:val="center"/>
          </w:tcPr>
          <w:p>
            <w:pPr>
              <w:widowControl/>
              <w:spacing w:beforeLines="0" w:afterLines="0" w:line="300" w:lineRule="exact"/>
              <w:jc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val="en-US" w:eastAsia="zh-CN"/>
              </w:rPr>
              <w:t>7</w:t>
            </w:r>
          </w:p>
        </w:tc>
        <w:tc>
          <w:tcPr>
            <w:tcW w:w="1259" w:type="dxa"/>
            <w:vAlign w:val="center"/>
          </w:tcPr>
          <w:p>
            <w:pPr>
              <w:widowControl/>
              <w:spacing w:beforeLines="0" w:afterLines="0" w:line="30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严控高耗能产业</w:t>
            </w:r>
          </w:p>
        </w:tc>
        <w:tc>
          <w:tcPr>
            <w:tcW w:w="6964" w:type="dxa"/>
            <w:vAlign w:val="center"/>
          </w:tcPr>
          <w:p>
            <w:pPr>
              <w:widowControl/>
              <w:spacing w:beforeLines="0" w:afterLines="0" w:line="300" w:lineRule="exact"/>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坚决遏制高耗能高排放项目盲目发展，加大落后和过剩产能压减力度。钢铁、水泥、平板玻璃、电解铝等新、扩建项目严格落实产能减量、等量置换。未纳入国家规划的石化、煤化工等项目不再新建。安排专项资金，对企业主动淘汰和化解过剩产能进行奖补，支持企业低端低效产能退出市场；利用综合标准，依法依规推动落后产能市场出清。对未完成能耗强度控制目标的地区，对高耗能项目缓批限批，能耗减量替代。</w:t>
            </w:r>
          </w:p>
        </w:tc>
        <w:tc>
          <w:tcPr>
            <w:tcW w:w="1916" w:type="dxa"/>
            <w:vAlign w:val="center"/>
          </w:tcPr>
          <w:p>
            <w:pPr>
              <w:widowControl/>
              <w:spacing w:beforeLines="0" w:afterLines="0" w:line="30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自治区发展改革委、工业和信息化厅</w:t>
            </w:r>
          </w:p>
        </w:tc>
        <w:tc>
          <w:tcPr>
            <w:tcW w:w="1645" w:type="dxa"/>
            <w:vAlign w:val="center"/>
          </w:tcPr>
          <w:p>
            <w:pPr>
              <w:widowControl/>
              <w:spacing w:beforeLines="0" w:afterLines="0" w:line="30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自治区生态环境厅、市场监督管理厅</w:t>
            </w:r>
          </w:p>
        </w:tc>
        <w:tc>
          <w:tcPr>
            <w:tcW w:w="1788" w:type="dxa"/>
            <w:vAlign w:val="center"/>
          </w:tcPr>
          <w:p>
            <w:pPr>
              <w:widowControl/>
              <w:spacing w:beforeLines="0" w:afterLines="0" w:line="300" w:lineRule="exact"/>
              <w:jc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val="en-US" w:eastAsia="zh-CN"/>
              </w:rPr>
              <w:t>产业处</w:t>
            </w:r>
          </w:p>
          <w:p>
            <w:pPr>
              <w:widowControl/>
              <w:spacing w:beforeLines="0" w:afterLines="0" w:line="300" w:lineRule="exact"/>
              <w:jc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val="en-US" w:eastAsia="zh-CN"/>
              </w:rPr>
              <w:t>环资处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0" w:hRule="atLeast"/>
          <w:jc w:val="center"/>
        </w:trPr>
        <w:tc>
          <w:tcPr>
            <w:tcW w:w="645" w:type="dxa"/>
            <w:vAlign w:val="center"/>
          </w:tcPr>
          <w:p>
            <w:pPr>
              <w:widowControl/>
              <w:spacing w:beforeLines="0" w:afterLines="0" w:line="300" w:lineRule="exact"/>
              <w:jc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val="en-US" w:eastAsia="zh-CN"/>
              </w:rPr>
              <w:t>8</w:t>
            </w:r>
          </w:p>
        </w:tc>
        <w:tc>
          <w:tcPr>
            <w:tcW w:w="1259" w:type="dxa"/>
            <w:vAlign w:val="center"/>
          </w:tcPr>
          <w:p>
            <w:pPr>
              <w:widowControl/>
              <w:spacing w:beforeLines="0" w:afterLines="0" w:line="300" w:lineRule="exact"/>
              <w:jc w:val="both"/>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推动工业绿色改造</w:t>
            </w:r>
          </w:p>
        </w:tc>
        <w:tc>
          <w:tcPr>
            <w:tcW w:w="6964" w:type="dxa"/>
            <w:vAlign w:val="center"/>
          </w:tcPr>
          <w:p>
            <w:pPr>
              <w:widowControl/>
              <w:spacing w:beforeLines="0" w:afterLines="0" w:line="300" w:lineRule="exact"/>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打好工业转型发展攻坚战。全面落实《关于实施“四大改造”打好工业转型发展攻坚战的实施方案》，完成自治区《推动工业绿色改造三年行动计划》年度任务。在化工、冶金、建材、纺织、装备制造等重点领域，开展绿色工厂创建。累计创建70家绿色工厂，10个绿色园区。</w:t>
            </w:r>
          </w:p>
        </w:tc>
        <w:tc>
          <w:tcPr>
            <w:tcW w:w="1916" w:type="dxa"/>
            <w:vAlign w:val="center"/>
          </w:tcPr>
          <w:p>
            <w:pPr>
              <w:widowControl/>
              <w:spacing w:beforeLines="0" w:afterLines="0" w:line="30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自治区发展改革委、工业和信息化厅</w:t>
            </w:r>
          </w:p>
        </w:tc>
        <w:tc>
          <w:tcPr>
            <w:tcW w:w="1645" w:type="dxa"/>
            <w:vAlign w:val="center"/>
          </w:tcPr>
          <w:p>
            <w:pPr>
              <w:widowControl/>
              <w:spacing w:beforeLines="0" w:afterLines="0" w:line="30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自治区科技厅、生态环境厅、市场监管厅</w:t>
            </w:r>
          </w:p>
        </w:tc>
        <w:tc>
          <w:tcPr>
            <w:tcW w:w="1788" w:type="dxa"/>
            <w:vAlign w:val="center"/>
          </w:tcPr>
          <w:p>
            <w:pPr>
              <w:widowControl/>
              <w:spacing w:beforeLines="0" w:afterLines="0" w:line="300" w:lineRule="exact"/>
              <w:jc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val="en-US" w:eastAsia="zh-CN"/>
              </w:rPr>
              <w:t>环资处</w:t>
            </w:r>
          </w:p>
          <w:p>
            <w:pPr>
              <w:widowControl/>
              <w:spacing w:beforeLines="0" w:afterLines="0" w:line="300" w:lineRule="exact"/>
              <w:jc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val="en-US" w:eastAsia="zh-CN"/>
              </w:rPr>
              <w:t>产业处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jc w:val="center"/>
        </w:trPr>
        <w:tc>
          <w:tcPr>
            <w:tcW w:w="645" w:type="dxa"/>
            <w:vAlign w:val="center"/>
          </w:tcPr>
          <w:p>
            <w:pPr>
              <w:widowControl/>
              <w:spacing w:beforeLines="0" w:afterLines="0" w:line="300" w:lineRule="exact"/>
              <w:jc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val="en-US" w:eastAsia="zh-CN"/>
              </w:rPr>
              <w:t>9</w:t>
            </w:r>
          </w:p>
        </w:tc>
        <w:tc>
          <w:tcPr>
            <w:tcW w:w="1259" w:type="dxa"/>
            <w:vAlign w:val="center"/>
          </w:tcPr>
          <w:p>
            <w:pPr>
              <w:widowControl/>
              <w:spacing w:beforeLines="0" w:afterLines="0" w:line="30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大力推行清洁生产</w:t>
            </w:r>
          </w:p>
        </w:tc>
        <w:tc>
          <w:tcPr>
            <w:tcW w:w="6964" w:type="dxa"/>
            <w:vAlign w:val="center"/>
          </w:tcPr>
          <w:p>
            <w:pPr>
              <w:widowControl/>
              <w:spacing w:beforeLines="0" w:afterLines="0" w:line="300" w:lineRule="exact"/>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根据国家《清洁生产审核办法》和《自治区环境保护厅关于下放清洁生产审核工作权限的通知》（宁环发〔2016〕56号）有关要求，开展煤炭、火电、钢铁、焦化、化工、有色、水泥等行业强制性清洁生产。全面推进清洁生产改造，提升行业清洁生产水平</w:t>
            </w:r>
            <w:r>
              <w:rPr>
                <w:rFonts w:hint="default" w:ascii="Times New Roman" w:hAnsi="Times New Roman" w:eastAsia="仿宋_GB2312" w:cs="Times New Roman"/>
                <w:color w:val="000000"/>
                <w:kern w:val="0"/>
                <w:sz w:val="21"/>
                <w:szCs w:val="21"/>
                <w:lang w:eastAsia="zh-CN"/>
              </w:rPr>
              <w:t>。</w:t>
            </w:r>
          </w:p>
        </w:tc>
        <w:tc>
          <w:tcPr>
            <w:tcW w:w="1916" w:type="dxa"/>
            <w:vAlign w:val="center"/>
          </w:tcPr>
          <w:p>
            <w:pPr>
              <w:widowControl/>
              <w:spacing w:beforeLines="0" w:afterLines="0" w:line="30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自治区发展改革委、生态环境厅</w:t>
            </w:r>
          </w:p>
        </w:tc>
        <w:tc>
          <w:tcPr>
            <w:tcW w:w="1645" w:type="dxa"/>
            <w:vAlign w:val="center"/>
          </w:tcPr>
          <w:p>
            <w:pPr>
              <w:widowControl/>
              <w:spacing w:beforeLines="0" w:afterLines="0" w:line="300" w:lineRule="exact"/>
              <w:jc w:val="both"/>
              <w:rPr>
                <w:rFonts w:hint="default" w:ascii="Times New Roman" w:hAnsi="Times New Roman" w:eastAsia="仿宋_GB2312" w:cs="Times New Roman"/>
                <w:color w:val="000000"/>
                <w:kern w:val="0"/>
                <w:sz w:val="21"/>
                <w:szCs w:val="21"/>
              </w:rPr>
            </w:pPr>
          </w:p>
        </w:tc>
        <w:tc>
          <w:tcPr>
            <w:tcW w:w="1788" w:type="dxa"/>
            <w:vAlign w:val="center"/>
          </w:tcPr>
          <w:p>
            <w:pPr>
              <w:widowControl/>
              <w:spacing w:beforeLines="0" w:afterLines="0" w:line="300" w:lineRule="exact"/>
              <w:jc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val="en-US" w:eastAsia="zh-CN"/>
              </w:rPr>
              <w:t>环资处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jc w:val="center"/>
        </w:trPr>
        <w:tc>
          <w:tcPr>
            <w:tcW w:w="645" w:type="dxa"/>
            <w:vAlign w:val="center"/>
          </w:tcPr>
          <w:p>
            <w:pPr>
              <w:widowControl/>
              <w:spacing w:beforeLines="0" w:afterLines="0" w:line="300" w:lineRule="exact"/>
              <w:jc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val="en-US" w:eastAsia="zh-CN"/>
              </w:rPr>
              <w:t>10</w:t>
            </w:r>
          </w:p>
        </w:tc>
        <w:tc>
          <w:tcPr>
            <w:tcW w:w="1259" w:type="dxa"/>
            <w:vAlign w:val="center"/>
          </w:tcPr>
          <w:p>
            <w:pPr>
              <w:widowControl/>
              <w:spacing w:beforeLines="0" w:afterLines="0" w:line="30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激励技术创新和变革</w:t>
            </w:r>
          </w:p>
        </w:tc>
        <w:tc>
          <w:tcPr>
            <w:tcW w:w="6964" w:type="dxa"/>
            <w:vAlign w:val="center"/>
          </w:tcPr>
          <w:p>
            <w:pPr>
              <w:widowControl/>
              <w:spacing w:beforeLines="0" w:afterLines="0" w:line="300" w:lineRule="exact"/>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加强各行业领域实现碳达锋碳中和目标的技术发展需求分析与预测，开展重大关键共性技术攻关。加强绿色低碳新技术、新设备、新材料的研究开发、成果转化与应用示范。重点发展经济适用的低碳建材、低碳交通、低碳建筑、煤炭清洁高效利用、氢能等低碳技术，建立我区低碳发展技术体系；支持太阳能光伏电池技术、太阳能建筑一体化技术、大功率风能发电、天然气分布式能源、智能及绿色电网开发；开展碳捕集、利用和封存等技术的研发和试验示范。</w:t>
            </w:r>
          </w:p>
        </w:tc>
        <w:tc>
          <w:tcPr>
            <w:tcW w:w="1916" w:type="dxa"/>
            <w:vAlign w:val="center"/>
          </w:tcPr>
          <w:p>
            <w:pPr>
              <w:widowControl/>
              <w:spacing w:beforeLines="0" w:afterLines="0" w:line="30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自治区发展改革委、科技厅、工业和信息化厅、生态环境厅、住房城乡建设厅、交通运输厅、农业农村厅，国家电网宁夏电力有限公司</w:t>
            </w:r>
          </w:p>
        </w:tc>
        <w:tc>
          <w:tcPr>
            <w:tcW w:w="1645" w:type="dxa"/>
            <w:vAlign w:val="center"/>
          </w:tcPr>
          <w:p>
            <w:pPr>
              <w:widowControl/>
              <w:spacing w:beforeLines="0" w:afterLines="0" w:line="300" w:lineRule="exact"/>
              <w:jc w:val="both"/>
              <w:rPr>
                <w:rFonts w:hint="default" w:ascii="Times New Roman" w:hAnsi="Times New Roman" w:eastAsia="仿宋_GB2312" w:cs="Times New Roman"/>
                <w:color w:val="000000"/>
                <w:kern w:val="0"/>
                <w:sz w:val="21"/>
                <w:szCs w:val="21"/>
              </w:rPr>
            </w:pPr>
          </w:p>
        </w:tc>
        <w:tc>
          <w:tcPr>
            <w:tcW w:w="1788" w:type="dxa"/>
            <w:vAlign w:val="center"/>
          </w:tcPr>
          <w:p>
            <w:pPr>
              <w:widowControl/>
              <w:spacing w:beforeLines="0" w:afterLines="0" w:line="300" w:lineRule="exact"/>
              <w:jc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val="en-US" w:eastAsia="zh-CN"/>
              </w:rPr>
              <w:t>环资处</w:t>
            </w:r>
          </w:p>
          <w:p>
            <w:pPr>
              <w:widowControl/>
              <w:spacing w:beforeLines="0" w:afterLines="0" w:line="300" w:lineRule="exact"/>
              <w:jc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val="en-US" w:eastAsia="zh-CN"/>
              </w:rPr>
              <w:t>产业处</w:t>
            </w:r>
          </w:p>
          <w:p>
            <w:pPr>
              <w:widowControl/>
              <w:spacing w:beforeLines="0" w:afterLines="0" w:line="300" w:lineRule="exact"/>
              <w:jc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val="en-US" w:eastAsia="zh-CN"/>
              </w:rPr>
              <w:t>能源管理处</w:t>
            </w:r>
          </w:p>
          <w:p>
            <w:pPr>
              <w:widowControl/>
              <w:spacing w:beforeLines="0" w:afterLines="0" w:line="300" w:lineRule="exact"/>
              <w:jc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val="en-US" w:eastAsia="zh-CN"/>
              </w:rPr>
              <w:t>能源发展处</w:t>
            </w:r>
          </w:p>
          <w:p>
            <w:pPr>
              <w:widowControl/>
              <w:spacing w:beforeLines="0" w:afterLines="0" w:line="300" w:lineRule="exact"/>
              <w:jc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val="en-US" w:eastAsia="zh-CN"/>
              </w:rPr>
              <w:t>创新高技术处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0" w:hRule="atLeast"/>
          <w:jc w:val="center"/>
        </w:trPr>
        <w:tc>
          <w:tcPr>
            <w:tcW w:w="645" w:type="dxa"/>
            <w:vAlign w:val="center"/>
          </w:tcPr>
          <w:p>
            <w:pPr>
              <w:widowControl/>
              <w:spacing w:beforeLines="0" w:afterLines="0" w:line="300" w:lineRule="exact"/>
              <w:jc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val="en-US" w:eastAsia="zh-CN"/>
              </w:rPr>
              <w:t>11</w:t>
            </w:r>
          </w:p>
        </w:tc>
        <w:tc>
          <w:tcPr>
            <w:tcW w:w="1259" w:type="dxa"/>
            <w:vAlign w:val="center"/>
          </w:tcPr>
          <w:p>
            <w:pPr>
              <w:widowControl/>
              <w:spacing w:beforeLines="0" w:afterLines="0" w:line="30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提升企业统计监测能力</w:t>
            </w:r>
          </w:p>
        </w:tc>
        <w:tc>
          <w:tcPr>
            <w:tcW w:w="6964" w:type="dxa"/>
            <w:vAlign w:val="center"/>
          </w:tcPr>
          <w:p>
            <w:pPr>
              <w:widowControl/>
              <w:spacing w:beforeLines="0" w:afterLines="0" w:line="300" w:lineRule="exact"/>
              <w:jc w:val="left"/>
              <w:rPr>
                <w:rFonts w:hint="default" w:ascii="Times New Roman" w:hAnsi="Times New Roman" w:eastAsia="仿宋_GB2312" w:cs="Times New Roman"/>
                <w:b/>
                <w:bCs/>
                <w:color w:val="000000"/>
                <w:kern w:val="0"/>
                <w:sz w:val="21"/>
                <w:szCs w:val="21"/>
              </w:rPr>
            </w:pPr>
            <w:r>
              <w:rPr>
                <w:rFonts w:hint="default" w:ascii="Times New Roman" w:hAnsi="Times New Roman" w:eastAsia="仿宋_GB2312" w:cs="Times New Roman"/>
                <w:color w:val="000000"/>
                <w:kern w:val="0"/>
                <w:sz w:val="21"/>
                <w:szCs w:val="21"/>
              </w:rPr>
              <w:t>持续健全发电、石化、化工、建材、钢铁、有色、造纸、冶金等行业和领域能耗统计监测体系。建立并完善重点领域企业二氧化碳等温室气体排放统计核算和计量体系。加强重点用能单位能源消耗在线监测系统建设。宁东基地加强温室气体排放统计与核算能力，对煤化工项目进行独立统计、核算。</w:t>
            </w:r>
          </w:p>
        </w:tc>
        <w:tc>
          <w:tcPr>
            <w:tcW w:w="1916" w:type="dxa"/>
            <w:vAlign w:val="center"/>
          </w:tcPr>
          <w:p>
            <w:pPr>
              <w:widowControl/>
              <w:spacing w:beforeLines="0" w:afterLines="0" w:line="30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自治区发展改革委、生态环境厅、市场监管厅、统计局</w:t>
            </w:r>
          </w:p>
        </w:tc>
        <w:tc>
          <w:tcPr>
            <w:tcW w:w="1645" w:type="dxa"/>
            <w:vAlign w:val="center"/>
          </w:tcPr>
          <w:p>
            <w:pPr>
              <w:widowControl/>
              <w:spacing w:beforeLines="0" w:afterLines="0" w:line="300" w:lineRule="exact"/>
              <w:jc w:val="both"/>
              <w:rPr>
                <w:rFonts w:hint="default" w:ascii="Times New Roman" w:hAnsi="Times New Roman" w:eastAsia="仿宋_GB2312" w:cs="Times New Roman"/>
                <w:color w:val="000000"/>
                <w:kern w:val="0"/>
                <w:sz w:val="21"/>
                <w:szCs w:val="21"/>
              </w:rPr>
            </w:pPr>
          </w:p>
        </w:tc>
        <w:tc>
          <w:tcPr>
            <w:tcW w:w="1788" w:type="dxa"/>
            <w:vAlign w:val="center"/>
          </w:tcPr>
          <w:p>
            <w:pPr>
              <w:widowControl/>
              <w:spacing w:beforeLines="0" w:afterLines="0" w:line="300" w:lineRule="exact"/>
              <w:jc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val="en-US" w:eastAsia="zh-CN"/>
              </w:rPr>
              <w:t>环资处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0" w:hRule="atLeast"/>
          <w:jc w:val="center"/>
        </w:trPr>
        <w:tc>
          <w:tcPr>
            <w:tcW w:w="645" w:type="dxa"/>
            <w:vAlign w:val="center"/>
          </w:tcPr>
          <w:p>
            <w:pPr>
              <w:widowControl/>
              <w:spacing w:beforeLines="0" w:afterLines="0" w:line="300" w:lineRule="exact"/>
              <w:jc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val="en-US" w:eastAsia="zh-CN"/>
              </w:rPr>
              <w:t>12</w:t>
            </w:r>
          </w:p>
        </w:tc>
        <w:tc>
          <w:tcPr>
            <w:tcW w:w="1259" w:type="dxa"/>
            <w:vAlign w:val="center"/>
          </w:tcPr>
          <w:p>
            <w:pPr>
              <w:widowControl/>
              <w:spacing w:beforeLines="0" w:afterLines="0" w:line="30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加强组织领导</w:t>
            </w:r>
          </w:p>
        </w:tc>
        <w:tc>
          <w:tcPr>
            <w:tcW w:w="6964" w:type="dxa"/>
            <w:vAlign w:val="center"/>
          </w:tcPr>
          <w:p>
            <w:pPr>
              <w:widowControl/>
              <w:spacing w:beforeLines="0" w:afterLines="0" w:line="300" w:lineRule="exact"/>
              <w:jc w:val="left"/>
              <w:rPr>
                <w:rFonts w:hint="default" w:ascii="Times New Roman" w:hAnsi="Times New Roman" w:eastAsia="仿宋_GB2312" w:cs="Times New Roman"/>
                <w:color w:val="000000"/>
                <w:kern w:val="0"/>
                <w:sz w:val="21"/>
                <w:szCs w:val="21"/>
              </w:rPr>
            </w:pPr>
            <w:bookmarkStart w:id="0" w:name="_Hlk67477572"/>
            <w:r>
              <w:rPr>
                <w:rFonts w:hint="default" w:ascii="Times New Roman" w:hAnsi="Times New Roman" w:eastAsia="仿宋_GB2312" w:cs="Times New Roman"/>
                <w:color w:val="000000"/>
                <w:kern w:val="0"/>
                <w:sz w:val="21"/>
                <w:szCs w:val="21"/>
              </w:rPr>
              <w:t>强化应对气候变化工作的统筹协调。做好规划衔接，确保应对气候变化规划与经济社会发展规划、环境保护规划、产业发展规划等相关领域专项规划之间的衔接，确保各相关规划目标一致、各有侧重、协调互补。加强部门联动，完善部门之间沟通协调机制，建立应对气候变化信息共享机制，研究解决应对气候变化工作中的相关重大问题。加强应对气候变化工作机构建设，认真落实国家应对气候变化工作归口管理和降碳目标责任制评价考核要求，加强应对气候变化工作的指导和协调。</w:t>
            </w:r>
            <w:bookmarkEnd w:id="0"/>
          </w:p>
        </w:tc>
        <w:tc>
          <w:tcPr>
            <w:tcW w:w="1916" w:type="dxa"/>
            <w:vAlign w:val="center"/>
          </w:tcPr>
          <w:p>
            <w:pPr>
              <w:widowControl/>
              <w:spacing w:beforeLines="0" w:afterLines="0" w:line="30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自治区发展改革委、生态环境厅</w:t>
            </w:r>
          </w:p>
        </w:tc>
        <w:tc>
          <w:tcPr>
            <w:tcW w:w="1645" w:type="dxa"/>
            <w:vAlign w:val="center"/>
          </w:tcPr>
          <w:p>
            <w:pPr>
              <w:widowControl/>
              <w:spacing w:beforeLines="0" w:afterLines="0" w:line="300" w:lineRule="exact"/>
              <w:jc w:val="both"/>
              <w:rPr>
                <w:rFonts w:hint="default" w:ascii="Times New Roman" w:hAnsi="Times New Roman" w:eastAsia="仿宋_GB2312" w:cs="Times New Roman"/>
                <w:color w:val="000000"/>
                <w:kern w:val="0"/>
                <w:sz w:val="21"/>
                <w:szCs w:val="21"/>
              </w:rPr>
            </w:pPr>
          </w:p>
        </w:tc>
        <w:tc>
          <w:tcPr>
            <w:tcW w:w="1788" w:type="dxa"/>
            <w:vAlign w:val="center"/>
          </w:tcPr>
          <w:p>
            <w:pPr>
              <w:widowControl/>
              <w:spacing w:beforeLines="0" w:afterLines="0" w:line="300" w:lineRule="exact"/>
              <w:jc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val="en-US" w:eastAsia="zh-CN"/>
              </w:rPr>
              <w:t>环资处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4217" w:type="dxa"/>
            <w:gridSpan w:val="6"/>
            <w:vAlign w:val="center"/>
          </w:tcPr>
          <w:p>
            <w:pPr>
              <w:widowControl/>
              <w:spacing w:beforeLines="0" w:afterLines="0" w:line="300" w:lineRule="exact"/>
              <w:jc w:val="both"/>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b/>
                <w:bCs/>
                <w:sz w:val="21"/>
                <w:szCs w:val="21"/>
                <w:lang w:eastAsia="zh-CN"/>
              </w:rPr>
              <w:t>配合任务（</w:t>
            </w:r>
            <w:r>
              <w:rPr>
                <w:rFonts w:hint="default" w:ascii="Times New Roman" w:hAnsi="Times New Roman" w:eastAsia="仿宋_GB2312" w:cs="Times New Roman"/>
                <w:b/>
                <w:bCs/>
                <w:sz w:val="21"/>
                <w:szCs w:val="21"/>
                <w:lang w:val="en-US" w:eastAsia="zh-CN"/>
              </w:rPr>
              <w:t>3项</w:t>
            </w:r>
            <w:r>
              <w:rPr>
                <w:rFonts w:hint="default" w:ascii="Times New Roman" w:hAnsi="Times New Roman" w:eastAsia="仿宋_GB2312" w:cs="Times New Roman"/>
                <w:b/>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8" w:hRule="atLeast"/>
          <w:jc w:val="center"/>
        </w:trPr>
        <w:tc>
          <w:tcPr>
            <w:tcW w:w="645" w:type="dxa"/>
            <w:vAlign w:val="center"/>
          </w:tcPr>
          <w:p>
            <w:pPr>
              <w:widowControl/>
              <w:spacing w:beforeLines="0" w:afterLines="0" w:line="300" w:lineRule="exact"/>
              <w:jc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val="en-US" w:eastAsia="zh-CN"/>
              </w:rPr>
              <w:t>1</w:t>
            </w:r>
          </w:p>
        </w:tc>
        <w:tc>
          <w:tcPr>
            <w:tcW w:w="1259" w:type="dxa"/>
            <w:vAlign w:val="center"/>
          </w:tcPr>
          <w:p>
            <w:pPr>
              <w:widowControl/>
              <w:spacing w:beforeLines="0" w:afterLines="0" w:line="30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制定全区二氧化碳排放达峰行动方案</w:t>
            </w:r>
          </w:p>
        </w:tc>
        <w:tc>
          <w:tcPr>
            <w:tcW w:w="6964" w:type="dxa"/>
            <w:vAlign w:val="center"/>
          </w:tcPr>
          <w:p>
            <w:pPr>
              <w:widowControl/>
              <w:spacing w:beforeLines="0" w:afterLines="0" w:line="300" w:lineRule="exact"/>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开展自治区二氧化碳排放达峰研究，制定自治区2030年前碳排放达峰行动方案，明确碳排放达峰的主要目标、重点任务</w:t>
            </w:r>
            <w:bookmarkStart w:id="1" w:name="_Hlk67413704"/>
            <w:r>
              <w:rPr>
                <w:rFonts w:hint="default" w:ascii="Times New Roman" w:hAnsi="Times New Roman" w:eastAsia="仿宋_GB2312" w:cs="Times New Roman"/>
                <w:color w:val="000000"/>
                <w:kern w:val="0"/>
                <w:sz w:val="21"/>
                <w:szCs w:val="21"/>
              </w:rPr>
              <w:t>，形成自治区碳排放达峰路线图、行动方案及配套措施。</w:t>
            </w:r>
            <w:bookmarkEnd w:id="1"/>
          </w:p>
        </w:tc>
        <w:tc>
          <w:tcPr>
            <w:tcW w:w="1916" w:type="dxa"/>
            <w:vAlign w:val="center"/>
          </w:tcPr>
          <w:p>
            <w:pPr>
              <w:widowControl/>
              <w:spacing w:beforeLines="0" w:afterLines="0" w:line="30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自治区生态环境厅</w:t>
            </w:r>
          </w:p>
        </w:tc>
        <w:tc>
          <w:tcPr>
            <w:tcW w:w="1645" w:type="dxa"/>
            <w:vAlign w:val="center"/>
          </w:tcPr>
          <w:p>
            <w:pPr>
              <w:widowControl/>
              <w:spacing w:beforeLines="0" w:afterLines="0" w:line="30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lang w:eastAsia="zh-CN"/>
              </w:rPr>
              <w:t>自治区</w:t>
            </w:r>
            <w:r>
              <w:rPr>
                <w:rFonts w:hint="default" w:ascii="Times New Roman" w:hAnsi="Times New Roman" w:eastAsia="仿宋_GB2312" w:cs="Times New Roman"/>
                <w:color w:val="000000"/>
                <w:kern w:val="0"/>
                <w:sz w:val="21"/>
                <w:szCs w:val="21"/>
              </w:rPr>
              <w:t>各有关部门</w:t>
            </w:r>
          </w:p>
        </w:tc>
        <w:tc>
          <w:tcPr>
            <w:tcW w:w="1788" w:type="dxa"/>
            <w:vAlign w:val="center"/>
          </w:tcPr>
          <w:p>
            <w:pPr>
              <w:widowControl/>
              <w:spacing w:beforeLines="0" w:afterLines="0" w:line="300" w:lineRule="exact"/>
              <w:jc w:val="center"/>
              <w:rPr>
                <w:rFonts w:hint="default" w:ascii="Times New Roman" w:hAnsi="Times New Roman" w:eastAsia="仿宋_GB2312" w:cs="Times New Roman"/>
                <w:color w:val="000000"/>
                <w:kern w:val="0"/>
                <w:sz w:val="21"/>
                <w:szCs w:val="21"/>
                <w:lang w:eastAsia="zh-CN"/>
              </w:rPr>
            </w:pPr>
            <w:r>
              <w:rPr>
                <w:rFonts w:hint="default" w:ascii="Times New Roman" w:hAnsi="Times New Roman" w:eastAsia="仿宋_GB2312" w:cs="Times New Roman"/>
                <w:color w:val="000000"/>
                <w:kern w:val="0"/>
                <w:sz w:val="21"/>
                <w:szCs w:val="21"/>
                <w:lang w:eastAsia="zh-CN"/>
              </w:rPr>
              <w:t>环资处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0" w:hRule="atLeast"/>
          <w:jc w:val="center"/>
        </w:trPr>
        <w:tc>
          <w:tcPr>
            <w:tcW w:w="645" w:type="dxa"/>
            <w:vAlign w:val="center"/>
          </w:tcPr>
          <w:p>
            <w:pPr>
              <w:widowControl/>
              <w:spacing w:beforeLines="0" w:afterLines="0" w:line="300" w:lineRule="exact"/>
              <w:jc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val="en-US" w:eastAsia="zh-CN"/>
              </w:rPr>
              <w:t>2</w:t>
            </w:r>
          </w:p>
        </w:tc>
        <w:tc>
          <w:tcPr>
            <w:tcW w:w="1259" w:type="dxa"/>
            <w:vAlign w:val="center"/>
          </w:tcPr>
          <w:p>
            <w:pPr>
              <w:widowControl/>
              <w:spacing w:beforeLines="0" w:afterLines="0" w:line="30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持续推进新能源交通体系建设</w:t>
            </w:r>
          </w:p>
        </w:tc>
        <w:tc>
          <w:tcPr>
            <w:tcW w:w="6964" w:type="dxa"/>
            <w:vAlign w:val="center"/>
          </w:tcPr>
          <w:p>
            <w:pPr>
              <w:widowControl/>
              <w:spacing w:beforeLines="0" w:afterLines="0" w:line="300" w:lineRule="exact"/>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扩大新能源车辆使用范围，加大新能源汽车保有量，逐步完善公共停车场、居民区等区域新能源汽车配套设施建设。鼓励公交、环卫等行业和政府机关率先使用新能源汽车，扩大公共服务领域新能源汽车应用规模。</w:t>
            </w:r>
            <w:bookmarkStart w:id="2" w:name="_Hlk67475897"/>
            <w:r>
              <w:rPr>
                <w:rFonts w:hint="default" w:ascii="Times New Roman" w:hAnsi="Times New Roman" w:eastAsia="仿宋_GB2312" w:cs="Times New Roman"/>
                <w:color w:val="000000"/>
                <w:kern w:val="0"/>
                <w:sz w:val="21"/>
                <w:szCs w:val="21"/>
              </w:rPr>
              <w:t>到2021年底，全区新能源公交车占比达到35%以上。</w:t>
            </w:r>
            <w:bookmarkEnd w:id="2"/>
          </w:p>
        </w:tc>
        <w:tc>
          <w:tcPr>
            <w:tcW w:w="1916" w:type="dxa"/>
            <w:vAlign w:val="center"/>
          </w:tcPr>
          <w:p>
            <w:pPr>
              <w:widowControl/>
              <w:spacing w:beforeLines="0" w:afterLines="0" w:line="30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自治区交通运输厅、工业和信息化厅</w:t>
            </w:r>
          </w:p>
        </w:tc>
        <w:tc>
          <w:tcPr>
            <w:tcW w:w="1645" w:type="dxa"/>
            <w:vAlign w:val="center"/>
          </w:tcPr>
          <w:p>
            <w:pPr>
              <w:widowControl/>
              <w:spacing w:beforeLines="0" w:afterLines="0" w:line="30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自治区发展改革委、机关事务管理局、国网宁夏电力公司</w:t>
            </w:r>
          </w:p>
        </w:tc>
        <w:tc>
          <w:tcPr>
            <w:tcW w:w="1788" w:type="dxa"/>
            <w:vAlign w:val="center"/>
          </w:tcPr>
          <w:p>
            <w:pPr>
              <w:widowControl/>
              <w:spacing w:beforeLines="0" w:afterLines="0" w:line="300" w:lineRule="exact"/>
              <w:jc w:val="center"/>
              <w:rPr>
                <w:rFonts w:hint="default" w:ascii="Times New Roman" w:hAnsi="Times New Roman" w:eastAsia="仿宋_GB2312" w:cs="Times New Roman"/>
                <w:color w:val="000000"/>
                <w:kern w:val="0"/>
                <w:sz w:val="21"/>
                <w:szCs w:val="21"/>
                <w:lang w:eastAsia="zh-CN"/>
              </w:rPr>
            </w:pPr>
            <w:r>
              <w:rPr>
                <w:rFonts w:hint="default" w:ascii="Times New Roman" w:hAnsi="Times New Roman" w:eastAsia="仿宋_GB2312" w:cs="Times New Roman"/>
                <w:color w:val="000000"/>
                <w:kern w:val="0"/>
                <w:sz w:val="21"/>
                <w:szCs w:val="21"/>
                <w:lang w:eastAsia="zh-CN"/>
              </w:rPr>
              <w:t>能源发展处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6" w:hRule="atLeast"/>
          <w:jc w:val="center"/>
        </w:trPr>
        <w:tc>
          <w:tcPr>
            <w:tcW w:w="645" w:type="dxa"/>
            <w:vAlign w:val="center"/>
          </w:tcPr>
          <w:p>
            <w:pPr>
              <w:widowControl/>
              <w:spacing w:beforeLines="0" w:afterLines="0" w:line="300" w:lineRule="exact"/>
              <w:jc w:val="center"/>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val="en-US" w:eastAsia="zh-CN"/>
              </w:rPr>
              <w:t>3</w:t>
            </w:r>
          </w:p>
        </w:tc>
        <w:tc>
          <w:tcPr>
            <w:tcW w:w="1259" w:type="dxa"/>
            <w:vAlign w:val="center"/>
          </w:tcPr>
          <w:p>
            <w:pPr>
              <w:widowControl/>
              <w:spacing w:beforeLines="0" w:afterLines="0" w:line="30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加强温室气体排放统计与核算体系建设</w:t>
            </w:r>
          </w:p>
        </w:tc>
        <w:tc>
          <w:tcPr>
            <w:tcW w:w="6964" w:type="dxa"/>
            <w:vAlign w:val="center"/>
          </w:tcPr>
          <w:p>
            <w:pPr>
              <w:widowControl/>
              <w:spacing w:beforeLines="0" w:afterLines="0" w:line="300" w:lineRule="exact"/>
              <w:jc w:val="left"/>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各级政府相关部门完善能源活动、工业生产过程、农业、土地利用变化与林业、废弃物处理五大领域的温室气体排放基础统计体系，做好本地区应对气候变化和温室气体排放基础统计工作，为编制温室气体排放清单、控制温室气体排放做好数据提供工作。建立健全各级温室气体清单编制和管理工作机制，鼓励市县定期编制温室气体清单。</w:t>
            </w:r>
          </w:p>
        </w:tc>
        <w:tc>
          <w:tcPr>
            <w:tcW w:w="1916" w:type="dxa"/>
            <w:vAlign w:val="center"/>
          </w:tcPr>
          <w:p>
            <w:pPr>
              <w:widowControl/>
              <w:spacing w:beforeLines="0" w:afterLines="0" w:line="30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自治区生态环境厅、统计局</w:t>
            </w:r>
          </w:p>
        </w:tc>
        <w:tc>
          <w:tcPr>
            <w:tcW w:w="1645" w:type="dxa"/>
            <w:vAlign w:val="center"/>
          </w:tcPr>
          <w:p>
            <w:pPr>
              <w:widowControl/>
              <w:spacing w:beforeLines="0" w:afterLines="0" w:line="300" w:lineRule="exact"/>
              <w:jc w:val="center"/>
              <w:rPr>
                <w:rFonts w:hint="default" w:ascii="Times New Roman" w:hAnsi="Times New Roman" w:eastAsia="仿宋_GB2312" w:cs="Times New Roman"/>
                <w:color w:val="000000"/>
                <w:kern w:val="0"/>
                <w:sz w:val="21"/>
                <w:szCs w:val="21"/>
              </w:rPr>
            </w:pPr>
            <w:r>
              <w:rPr>
                <w:rFonts w:hint="default" w:ascii="Times New Roman" w:hAnsi="Times New Roman" w:eastAsia="仿宋_GB2312" w:cs="Times New Roman"/>
                <w:color w:val="000000"/>
                <w:kern w:val="0"/>
                <w:sz w:val="21"/>
                <w:szCs w:val="21"/>
              </w:rPr>
              <w:t>自治区发展改革委、住房城乡建设厅、交通运输厅、农业农村厅、林业和草原局</w:t>
            </w:r>
          </w:p>
        </w:tc>
        <w:tc>
          <w:tcPr>
            <w:tcW w:w="1788" w:type="dxa"/>
            <w:vAlign w:val="center"/>
          </w:tcPr>
          <w:p>
            <w:pPr>
              <w:widowControl/>
              <w:spacing w:beforeLines="0" w:afterLines="0" w:line="300" w:lineRule="exact"/>
              <w:jc w:val="center"/>
              <w:rPr>
                <w:rFonts w:hint="default" w:ascii="Times New Roman" w:hAnsi="Times New Roman" w:eastAsia="仿宋_GB2312" w:cs="Times New Roman"/>
                <w:color w:val="000000"/>
                <w:kern w:val="0"/>
                <w:sz w:val="21"/>
                <w:szCs w:val="21"/>
                <w:lang w:eastAsia="zh-CN"/>
              </w:rPr>
            </w:pPr>
            <w:r>
              <w:rPr>
                <w:rFonts w:hint="default" w:ascii="Times New Roman" w:hAnsi="Times New Roman" w:eastAsia="仿宋_GB2312" w:cs="Times New Roman"/>
                <w:color w:val="000000"/>
                <w:kern w:val="0"/>
                <w:sz w:val="21"/>
                <w:szCs w:val="21"/>
                <w:lang w:eastAsia="zh-CN"/>
              </w:rPr>
              <w:t>环资处</w:t>
            </w:r>
          </w:p>
        </w:tc>
      </w:tr>
    </w:tbl>
    <w:p/>
    <w:sectPr>
      <w:pgSz w:w="16838" w:h="11906" w:orient="landscape"/>
      <w:pgMar w:top="1179" w:right="1440" w:bottom="1179" w:left="144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00"/>
    <w:family w:val="auto"/>
    <w:pitch w:val="default"/>
    <w:sig w:usb0="00000000" w:usb1="00000000" w:usb2="00000010" w:usb3="00000000" w:csb0="0004009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fill on="f" focussize="0,0"/>
              <v:stroke on="f" weight="1.2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-35560</wp:posOffset>
              </wp:positionH>
              <wp:positionV relativeFrom="paragraph">
                <wp:posOffset>-11430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2.8pt;margin-top:-0.9pt;height:144pt;width:144pt;mso-position-horizontal-relative:margin;mso-wrap-style:none;z-index:251659264;mso-width-relative:page;mso-height-relative:page;" filled="f" stroked="f" coordsize="21600,21600" o:gfxdata="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CxAb6XYAAAACQEAAA8AAAAAAAAAAQAgAAAAIgAAAGRycy9kb3ducmV2LnhtbFBLAQIUABQA&#10;AAAIAIdO4kDEYifBtwEAAFUDAAAOAAAAAAAAAAEAIAAAACcBAABkcnMvZTJvRG9jLnhtbFBLBQYA&#10;AAAABgAGAFkBAABQBQAAAAA=&#10;">
              <v:fill on="f" focussize="0,0"/>
              <v:stroke on="f" weight="1.2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val="0"/>
      <w:pBdr>
        <w:top w:val="none" w:color="auto" w:sz="0" w:space="1"/>
        <w:left w:val="none" w:color="auto" w:sz="0" w:space="4"/>
        <w:bottom w:val="none" w:color="auto" w:sz="0" w:space="1"/>
        <w:right w:val="none" w:color="auto" w:sz="0" w:space="4"/>
        <w:between w:val="none" w:color="auto" w:sz="0" w:space="0"/>
      </w:pBdr>
      <w:snapToGrid w:val="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val="0"/>
      <w:pBdr>
        <w:top w:val="none" w:color="auto" w:sz="0" w:space="1"/>
        <w:left w:val="none" w:color="auto" w:sz="0" w:space="4"/>
        <w:bottom w:val="none" w:color="auto" w:sz="0" w:space="1"/>
        <w:right w:val="none" w:color="auto" w:sz="0" w:space="4"/>
        <w:between w:val="none" w:color="auto" w:sz="0" w:space="0"/>
      </w:pBdr>
      <w:snapToGrid w:val="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4A1D56"/>
    <w:rsid w:val="072B65DC"/>
    <w:rsid w:val="134A1D56"/>
    <w:rsid w:val="15766FFF"/>
    <w:rsid w:val="27181DC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4"/>
      <w:lang w:val="en-US" w:eastAsia="zh-CN" w:bidi="ar-SA"/>
    </w:rPr>
  </w:style>
  <w:style w:type="paragraph" w:styleId="3">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customStyle="1" w:styleId="2">
    <w:name w:val="正文-啊"/>
    <w:basedOn w:val="1"/>
    <w:qFormat/>
    <w:uiPriority w:val="0"/>
    <w:pPr>
      <w:spacing w:before="312" w:beforeLines="100" w:line="276" w:lineRule="auto"/>
      <w:ind w:left="210" w:leftChars="0" w:right="210" w:firstLine="600"/>
    </w:pPr>
    <w:rPr>
      <w:rFonts w:ascii="微软雅黑" w:hAnsi="微软雅黑" w:eastAsia="微软雅黑" w:cs="Times New Roman"/>
      <w:color w:val="000000"/>
      <w:sz w:val="24"/>
      <w:szCs w:val="21"/>
    </w:rPr>
  </w:style>
  <w:style w:type="paragraph" w:styleId="4">
    <w:name w:val="footer"/>
    <w:basedOn w:val="1"/>
    <w:uiPriority w:val="0"/>
    <w:pPr>
      <w:tabs>
        <w:tab w:val="center" w:pos="4153"/>
        <w:tab w:val="right" w:pos="8306"/>
      </w:tabs>
      <w:snapToGrid w:val="0"/>
      <w:jc w:val="left"/>
    </w:pPr>
    <w:rPr>
      <w:rFonts w:eastAsia="仿宋_GB2312"/>
      <w:kern w:val="2"/>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eastAsia="仿宋_GB2312"/>
      <w:kern w:val="2"/>
      <w:sz w:val="18"/>
      <w:szCs w:val="18"/>
    </w:rPr>
  </w:style>
  <w:style w:type="character" w:styleId="7">
    <w:name w:val="Strong"/>
    <w:basedOn w:val="6"/>
    <w:qFormat/>
    <w:uiPriority w:val="0"/>
    <w:rPr>
      <w:rFonts w:ascii="Calibri" w:hAnsi="Calibri" w:eastAsia="宋体" w:cs="Times New Roman"/>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2021-04-21T06:32:00Z</dcterms:created>
  <dc:creator>沈妍红</dc:creator>
  <cp:lastModifiedBy>沈妍红</cp:lastModifiedBy>
  <dcterms:modified xsi:type="dcterms:W3CDTF">2021-04-21T07:29:44Z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