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both"/>
        <w:textAlignment w:val="auto"/>
        <w:rPr>
          <w:rFonts w:hint="eastAsia" w:ascii="黑体" w:hAnsi="黑体" w:eastAsia="黑体" w:cs="黑体"/>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方正小标宋简体" w:hAnsi="方正小标宋简体" w:eastAsia="方正小标宋简体" w:cs="方正小标宋简体"/>
          <w:color w:val="auto"/>
          <w:spacing w:val="0"/>
          <w:kern w:val="0"/>
          <w:sz w:val="44"/>
          <w:szCs w:val="44"/>
          <w:lang w:val="en-US" w:eastAsia="zh-CN" w:bidi="ar"/>
        </w:rPr>
      </w:pPr>
      <w:r>
        <w:rPr>
          <w:rFonts w:hint="eastAsia" w:ascii="方正小标宋简体" w:hAnsi="方正小标宋简体" w:eastAsia="方正小标宋简体" w:cs="方正小标宋简体"/>
          <w:color w:val="auto"/>
          <w:spacing w:val="0"/>
          <w:kern w:val="0"/>
          <w:sz w:val="44"/>
          <w:szCs w:val="44"/>
          <w:lang w:val="en-US" w:eastAsia="zh-CN" w:bidi="ar"/>
        </w:rPr>
        <w:t>市应急局宣布废止的行政规范性文件目录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方正小标宋简体" w:hAnsi="方正小标宋简体" w:eastAsia="方正小标宋简体" w:cs="方正小标宋简体"/>
          <w:color w:val="auto"/>
          <w:spacing w:val="0"/>
          <w:kern w:val="0"/>
          <w:sz w:val="44"/>
          <w:szCs w:val="44"/>
          <w:lang w:val="en-US" w:eastAsia="zh-CN" w:bidi="ar"/>
        </w:rPr>
      </w:pPr>
    </w:p>
    <w:tbl>
      <w:tblPr>
        <w:tblStyle w:val="6"/>
        <w:tblW w:w="8461" w:type="dxa"/>
        <w:jc w:val="center"/>
        <w:tblInd w:w="0" w:type="dxa"/>
        <w:tblLayout w:type="fixed"/>
        <w:tblCellMar>
          <w:top w:w="0" w:type="dxa"/>
          <w:left w:w="0" w:type="dxa"/>
          <w:bottom w:w="0" w:type="dxa"/>
          <w:right w:w="0" w:type="dxa"/>
        </w:tblCellMar>
      </w:tblPr>
      <w:tblGrid>
        <w:gridCol w:w="1006"/>
        <w:gridCol w:w="5040"/>
        <w:gridCol w:w="2415"/>
      </w:tblGrid>
      <w:tr>
        <w:tblPrEx>
          <w:tblLayout w:type="fixed"/>
          <w:tblCellMar>
            <w:top w:w="0" w:type="dxa"/>
            <w:left w:w="0" w:type="dxa"/>
            <w:bottom w:w="0" w:type="dxa"/>
            <w:right w:w="0" w:type="dxa"/>
          </w:tblCellMar>
        </w:tblPrEx>
        <w:trPr>
          <w:trHeight w:val="561" w:hRule="atLeast"/>
          <w:jc w:val="center"/>
        </w:trPr>
        <w:tc>
          <w:tcPr>
            <w:tcW w:w="100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eastAsia" w:ascii="黑体" w:hAnsi="宋体" w:eastAsia="黑体" w:cs="黑体"/>
                <w:color w:val="auto"/>
                <w:kern w:val="0"/>
                <w:sz w:val="28"/>
                <w:szCs w:val="28"/>
                <w:lang w:val="en-US" w:eastAsia="zh-CN" w:bidi="ar"/>
              </w:rPr>
              <w:t>序号</w:t>
            </w:r>
          </w:p>
        </w:tc>
        <w:tc>
          <w:tcPr>
            <w:tcW w:w="504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eastAsia" w:ascii="黑体" w:hAnsi="宋体" w:eastAsia="黑体" w:cs="黑体"/>
                <w:color w:val="auto"/>
                <w:kern w:val="0"/>
                <w:sz w:val="28"/>
                <w:szCs w:val="28"/>
                <w:lang w:val="en-US" w:eastAsia="zh-CN" w:bidi="ar"/>
              </w:rPr>
              <w:t>文件标题</w:t>
            </w:r>
          </w:p>
        </w:tc>
        <w:tc>
          <w:tcPr>
            <w:tcW w:w="241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eastAsia" w:ascii="黑体" w:hAnsi="宋体" w:eastAsia="黑体" w:cs="黑体"/>
                <w:color w:val="auto"/>
                <w:kern w:val="0"/>
                <w:sz w:val="28"/>
                <w:szCs w:val="28"/>
                <w:lang w:val="en-US" w:eastAsia="zh-CN" w:bidi="ar"/>
              </w:rPr>
              <w:t>文号</w:t>
            </w:r>
          </w:p>
        </w:tc>
      </w:tr>
      <w:tr>
        <w:tblPrEx>
          <w:tblLayout w:type="fixed"/>
          <w:tblCellMar>
            <w:top w:w="0" w:type="dxa"/>
            <w:left w:w="0" w:type="dxa"/>
            <w:bottom w:w="0" w:type="dxa"/>
            <w:right w:w="0" w:type="dxa"/>
          </w:tblCellMar>
        </w:tblPrEx>
        <w:trPr>
          <w:trHeight w:val="675"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default" w:ascii="Times New Roman" w:hAnsi="Times New Roman" w:eastAsia="宋体" w:cs="Times New Roman"/>
                <w:color w:val="auto"/>
                <w:kern w:val="0"/>
                <w:sz w:val="24"/>
                <w:szCs w:val="24"/>
                <w:lang w:val="en-US" w:eastAsia="zh-CN" w:bidi="ar"/>
              </w:rPr>
              <w:t>1</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关于在天津市高危行业推行安全生产责任保险以及其它商业保险的实施意见</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津安监管法字[2007]84号</w:t>
            </w:r>
          </w:p>
        </w:tc>
      </w:tr>
      <w:tr>
        <w:tblPrEx>
          <w:tblLayout w:type="fixed"/>
          <w:tblCellMar>
            <w:top w:w="0" w:type="dxa"/>
            <w:left w:w="0" w:type="dxa"/>
            <w:bottom w:w="0" w:type="dxa"/>
            <w:right w:w="0" w:type="dxa"/>
          </w:tblCellMar>
        </w:tblPrEx>
        <w:trPr>
          <w:trHeight w:val="579"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default" w:ascii="Times New Roman" w:hAnsi="Times New Roman" w:eastAsia="宋体" w:cs="Times New Roman"/>
                <w:color w:val="auto"/>
                <w:kern w:val="0"/>
                <w:sz w:val="24"/>
                <w:szCs w:val="24"/>
                <w:lang w:val="en-US" w:eastAsia="zh-CN" w:bidi="ar"/>
              </w:rPr>
              <w:t>2</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关于进一步加强和规范高危行业安全生产保险工作的通知</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津安监管法字[2008]15号</w:t>
            </w:r>
          </w:p>
        </w:tc>
      </w:tr>
      <w:tr>
        <w:tblPrEx>
          <w:tblLayout w:type="fixed"/>
          <w:tblCellMar>
            <w:top w:w="0" w:type="dxa"/>
            <w:left w:w="0" w:type="dxa"/>
            <w:bottom w:w="0" w:type="dxa"/>
            <w:right w:w="0" w:type="dxa"/>
          </w:tblCellMar>
        </w:tblPrEx>
        <w:trPr>
          <w:trHeight w:val="645"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default" w:ascii="Times New Roman" w:hAnsi="Times New Roman" w:eastAsia="宋体" w:cs="Times New Roman"/>
                <w:color w:val="auto"/>
                <w:kern w:val="0"/>
                <w:sz w:val="24"/>
                <w:szCs w:val="24"/>
                <w:lang w:val="en-US" w:eastAsia="zh-CN" w:bidi="ar"/>
              </w:rPr>
              <w:t>3</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天津市安全评价机构监督管理办法</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津安监管规〔2014〕22号</w:t>
            </w:r>
          </w:p>
        </w:tc>
      </w:tr>
      <w:tr>
        <w:tblPrEx>
          <w:tblLayout w:type="fixed"/>
          <w:tblCellMar>
            <w:top w:w="0" w:type="dxa"/>
            <w:left w:w="0" w:type="dxa"/>
            <w:bottom w:w="0" w:type="dxa"/>
            <w:right w:w="0" w:type="dxa"/>
          </w:tblCellMar>
        </w:tblPrEx>
        <w:trPr>
          <w:trHeight w:val="556"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default" w:ascii="Times New Roman" w:hAnsi="Times New Roman" w:eastAsia="宋体" w:cs="Times New Roman"/>
                <w:color w:val="auto"/>
                <w:kern w:val="0"/>
                <w:sz w:val="24"/>
                <w:szCs w:val="24"/>
                <w:lang w:val="en-US" w:eastAsia="zh-CN" w:bidi="ar"/>
              </w:rPr>
              <w:t>4</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天津市安全评价机构分级管理办法</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津安监管规〔2015〕13号</w:t>
            </w:r>
          </w:p>
        </w:tc>
      </w:tr>
      <w:tr>
        <w:tblPrEx>
          <w:tblLayout w:type="fixed"/>
          <w:tblCellMar>
            <w:top w:w="0" w:type="dxa"/>
            <w:left w:w="0" w:type="dxa"/>
            <w:bottom w:w="0" w:type="dxa"/>
            <w:right w:w="0" w:type="dxa"/>
          </w:tblCellMar>
        </w:tblPrEx>
        <w:trPr>
          <w:trHeight w:val="621"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default" w:ascii="Times New Roman" w:hAnsi="Times New Roman" w:eastAsia="宋体" w:cs="Times New Roman"/>
                <w:color w:val="auto"/>
                <w:kern w:val="0"/>
                <w:sz w:val="24"/>
                <w:szCs w:val="24"/>
                <w:lang w:val="en-US" w:eastAsia="zh-CN" w:bidi="ar"/>
              </w:rPr>
              <w:t>5</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天津市向社会力量购买安全技术服务管理办法</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津安监管法〔2015〕46号</w:t>
            </w:r>
          </w:p>
        </w:tc>
      </w:tr>
      <w:tr>
        <w:tblPrEx>
          <w:tblLayout w:type="fixed"/>
          <w:tblCellMar>
            <w:top w:w="0" w:type="dxa"/>
            <w:left w:w="0" w:type="dxa"/>
            <w:bottom w:w="0" w:type="dxa"/>
            <w:right w:w="0" w:type="dxa"/>
          </w:tblCellMar>
        </w:tblPrEx>
        <w:trPr>
          <w:trHeight w:val="673"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default" w:ascii="Times New Roman" w:hAnsi="Times New Roman" w:eastAsia="宋体" w:cs="Times New Roman"/>
                <w:color w:val="auto"/>
                <w:kern w:val="0"/>
                <w:sz w:val="24"/>
                <w:szCs w:val="24"/>
                <w:lang w:val="en-US" w:eastAsia="zh-CN" w:bidi="ar"/>
              </w:rPr>
              <w:t>6</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市安全监管局市财政局关于印发天津市安全生产项目管理暂行办法的通知</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津安监管规〔2016〕39号</w:t>
            </w:r>
          </w:p>
        </w:tc>
      </w:tr>
      <w:tr>
        <w:tblPrEx>
          <w:tblLayout w:type="fixed"/>
          <w:tblCellMar>
            <w:top w:w="0" w:type="dxa"/>
            <w:left w:w="0" w:type="dxa"/>
            <w:bottom w:w="0" w:type="dxa"/>
            <w:right w:w="0" w:type="dxa"/>
          </w:tblCellMar>
        </w:tblPrEx>
        <w:trPr>
          <w:trHeight w:val="707" w:hRule="atLeast"/>
          <w:jc w:val="center"/>
        </w:trPr>
        <w:tc>
          <w:tcPr>
            <w:tcW w:w="100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center"/>
              <w:textAlignment w:val="auto"/>
              <w:rPr>
                <w:color w:val="auto"/>
              </w:rPr>
            </w:pPr>
            <w:r>
              <w:rPr>
                <w:rFonts w:hint="eastAsia" w:ascii="Times New Roman" w:hAnsi="Times New Roman" w:cs="Times New Roman"/>
                <w:color w:val="auto"/>
                <w:kern w:val="0"/>
                <w:sz w:val="24"/>
                <w:szCs w:val="24"/>
                <w:lang w:val="en-US" w:eastAsia="zh-CN" w:bidi="ar"/>
              </w:rPr>
              <w:t>7</w:t>
            </w:r>
          </w:p>
        </w:tc>
        <w:tc>
          <w:tcPr>
            <w:tcW w:w="50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市安全监管局关于修改天津市建设项目安全设施“三同时”监督管理暂行办法的通知</w:t>
            </w:r>
          </w:p>
        </w:tc>
        <w:tc>
          <w:tcPr>
            <w:tcW w:w="2415"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auto"/>
                <w:kern w:val="0"/>
                <w:sz w:val="24"/>
                <w:szCs w:val="24"/>
                <w:u w:val="none"/>
                <w:lang w:val="en-US" w:eastAsia="zh-CN" w:bidi="ar"/>
              </w:rPr>
              <w:t>津安监管法〔2016〕70号</w:t>
            </w:r>
          </w:p>
        </w:tc>
      </w:tr>
    </w:tbl>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600" w:lineRule="exact"/>
        <w:ind w:left="0" w:right="0"/>
        <w:jc w:val="both"/>
        <w:textAlignment w:val="auto"/>
        <w:rPr>
          <w:color w:val="auto"/>
        </w:rPr>
      </w:pPr>
      <w:r>
        <w:rPr>
          <w:rFonts w:hint="default" w:ascii="Times New Roman" w:hAnsi="Times New Roman" w:eastAsia="宋体" w:cs="Times New Roman"/>
          <w:color w:val="auto"/>
          <w:kern w:val="0"/>
          <w:sz w:val="24"/>
          <w:szCs w:val="24"/>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40511"/>
    <w:rsid w:val="017405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2"/>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rPr>
      <w:rFonts w:ascii="Calibri" w:hAnsi="Calibri" w:eastAsia="宋体" w:cs="Calibri"/>
    </w:rPr>
  </w:style>
  <w:style w:type="paragraph" w:styleId="3">
    <w:name w:val="Body Text Indent"/>
    <w:basedOn w:val="1"/>
    <w:uiPriority w:val="0"/>
    <w:pPr>
      <w:spacing w:after="120"/>
      <w:ind w:left="420" w:leftChars="200"/>
    </w:pPr>
  </w:style>
  <w:style w:type="paragraph" w:styleId="4">
    <w:name w:val="Date"/>
    <w:basedOn w:val="1"/>
    <w:next w:val="1"/>
    <w:uiPriority w:val="0"/>
    <w:pPr>
      <w:ind w:left="100" w:leftChars="25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2021-05-07T09:02:00Z</dcterms:created>
  <dc:creator>hp</dc:creator>
  <cp:lastModifiedBy>hp</cp:lastModifiedBy>
  <dcterms:modified xsi:type="dcterms:W3CDTF">2021-05-07T09:02:55Z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