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224" w:rsidRDefault="009E3224" w:rsidP="009E3224">
      <w:pP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附表：</w:t>
      </w:r>
    </w:p>
    <w:p w:rsidR="009E3224" w:rsidRDefault="009E3224" w:rsidP="009E3224">
      <w:pPr>
        <w:jc w:val="center"/>
        <w:rPr>
          <w:rFonts w:ascii="黑体" w:eastAsia="黑体" w:hAnsi="黑体" w:cs="黑体" w:hint="eastAsia"/>
          <w:sz w:val="36"/>
          <w:szCs w:val="36"/>
        </w:rPr>
      </w:pPr>
      <w:r>
        <w:rPr>
          <w:rFonts w:ascii="黑体" w:eastAsia="黑体" w:hAnsi="黑体" w:cs="黑体" w:hint="eastAsia"/>
          <w:sz w:val="36"/>
          <w:szCs w:val="36"/>
        </w:rPr>
        <w:t>上海市集体用餐配送单位</w:t>
      </w:r>
      <w:bookmarkStart w:id="0" w:name="_GoBack"/>
      <w:bookmarkEnd w:id="0"/>
    </w:p>
    <w:p w:rsidR="009E3224" w:rsidRDefault="009E3224" w:rsidP="009E3224">
      <w:pPr>
        <w:jc w:val="center"/>
        <w:rPr>
          <w:rStyle w:val="a3"/>
          <w:rFonts w:ascii="黑体" w:eastAsia="黑体" w:hAnsi="黑体" w:cs="黑体" w:hint="eastAsia"/>
          <w:sz w:val="36"/>
          <w:szCs w:val="36"/>
        </w:rPr>
      </w:pPr>
      <w:r>
        <w:rPr>
          <w:rFonts w:ascii="黑体" w:eastAsia="黑体" w:hAnsi="黑体" w:cs="黑体" w:hint="eastAsia"/>
          <w:sz w:val="36"/>
          <w:szCs w:val="36"/>
        </w:rPr>
        <w:t>生产加工经营场地、设施设备要求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9"/>
        <w:gridCol w:w="851"/>
        <w:gridCol w:w="10208"/>
        <w:gridCol w:w="1073"/>
      </w:tblGrid>
      <w:tr w:rsidR="009E3224" w:rsidTr="001541CE">
        <w:trPr>
          <w:cantSplit/>
          <w:trHeight w:val="533"/>
          <w:tblHeader/>
          <w:jc w:val="center"/>
        </w:trPr>
        <w:tc>
          <w:tcPr>
            <w:tcW w:w="1859" w:type="dxa"/>
            <w:vAlign w:val="center"/>
          </w:tcPr>
          <w:p w:rsidR="009E3224" w:rsidRPr="00775184" w:rsidRDefault="009E3224" w:rsidP="001541CE">
            <w:pPr>
              <w:jc w:val="center"/>
              <w:rPr>
                <w:rFonts w:ascii="宋体" w:hAnsi="宋体" w:hint="eastAsia"/>
                <w:color w:val="FF0000"/>
                <w:szCs w:val="21"/>
              </w:rPr>
            </w:pPr>
            <w:r>
              <w:rPr>
                <w:rFonts w:ascii="宋体" w:hAnsi="宋体" w:hint="eastAsia"/>
                <w:b/>
                <w:color w:val="000000"/>
                <w:szCs w:val="21"/>
              </w:rPr>
              <w:t>项目</w:t>
            </w:r>
          </w:p>
        </w:tc>
        <w:tc>
          <w:tcPr>
            <w:tcW w:w="851" w:type="dxa"/>
            <w:vAlign w:val="center"/>
          </w:tcPr>
          <w:p w:rsidR="009E3224" w:rsidRDefault="009E3224" w:rsidP="001541CE">
            <w:pPr>
              <w:jc w:val="center"/>
              <w:rPr>
                <w:rFonts w:ascii="宋体" w:hAnsi="宋体"/>
                <w:b/>
                <w:color w:val="000000"/>
                <w:szCs w:val="21"/>
              </w:rPr>
            </w:pPr>
            <w:r>
              <w:rPr>
                <w:rFonts w:ascii="宋体" w:hAnsi="宋体" w:hint="eastAsia"/>
                <w:b/>
                <w:color w:val="000000"/>
                <w:szCs w:val="21"/>
              </w:rPr>
              <w:t>编号</w:t>
            </w:r>
          </w:p>
        </w:tc>
        <w:tc>
          <w:tcPr>
            <w:tcW w:w="10208" w:type="dxa"/>
            <w:vAlign w:val="center"/>
          </w:tcPr>
          <w:p w:rsidR="009E3224" w:rsidRDefault="009E3224" w:rsidP="001541CE">
            <w:pPr>
              <w:jc w:val="center"/>
              <w:rPr>
                <w:rFonts w:ascii="宋体" w:hAnsi="宋体" w:hint="eastAsia"/>
                <w:b/>
                <w:szCs w:val="21"/>
              </w:rPr>
            </w:pPr>
            <w:r>
              <w:rPr>
                <w:rFonts w:ascii="宋体" w:hAnsi="宋体" w:hint="eastAsia"/>
                <w:b/>
                <w:szCs w:val="21"/>
              </w:rPr>
              <w:t>具体要求</w:t>
            </w:r>
          </w:p>
        </w:tc>
        <w:tc>
          <w:tcPr>
            <w:tcW w:w="1073" w:type="dxa"/>
            <w:vAlign w:val="center"/>
          </w:tcPr>
          <w:p w:rsidR="009E3224" w:rsidRDefault="009E3224" w:rsidP="001541CE">
            <w:pPr>
              <w:jc w:val="center"/>
              <w:rPr>
                <w:rFonts w:ascii="宋体" w:hAnsi="宋体" w:hint="eastAsia"/>
                <w:b/>
                <w:szCs w:val="21"/>
              </w:rPr>
            </w:pPr>
            <w:r>
              <w:rPr>
                <w:rFonts w:ascii="宋体" w:hAnsi="宋体" w:hint="eastAsia"/>
                <w:b/>
                <w:szCs w:val="21"/>
              </w:rPr>
              <w:t>重要性</w:t>
            </w:r>
          </w:p>
        </w:tc>
      </w:tr>
      <w:tr w:rsidR="009E3224" w:rsidTr="001541CE">
        <w:trPr>
          <w:cantSplit/>
          <w:trHeight w:val="833"/>
          <w:jc w:val="center"/>
        </w:trPr>
        <w:tc>
          <w:tcPr>
            <w:tcW w:w="1859" w:type="dxa"/>
            <w:vAlign w:val="center"/>
          </w:tcPr>
          <w:p w:rsidR="009E3224" w:rsidRPr="0080469C" w:rsidRDefault="009E3224" w:rsidP="001541CE">
            <w:pPr>
              <w:jc w:val="center"/>
              <w:rPr>
                <w:rFonts w:ascii="宋体" w:hAnsi="宋体" w:hint="eastAsia"/>
                <w:color w:val="FF0000"/>
                <w:szCs w:val="21"/>
              </w:rPr>
            </w:pPr>
            <w:r>
              <w:rPr>
                <w:rFonts w:ascii="宋体" w:hAnsi="宋体" w:hint="eastAsia"/>
                <w:color w:val="000000"/>
                <w:szCs w:val="21"/>
              </w:rPr>
              <w:t>1.单位选址</w:t>
            </w:r>
          </w:p>
        </w:tc>
        <w:tc>
          <w:tcPr>
            <w:tcW w:w="851" w:type="dxa"/>
            <w:vAlign w:val="center"/>
          </w:tcPr>
          <w:p w:rsidR="009E3224" w:rsidRDefault="009E3224" w:rsidP="001541CE">
            <w:pPr>
              <w:jc w:val="center"/>
              <w:rPr>
                <w:rFonts w:ascii="宋体" w:hAnsi="宋体"/>
                <w:color w:val="000000"/>
                <w:szCs w:val="21"/>
              </w:rPr>
            </w:pPr>
            <w:r>
              <w:rPr>
                <w:rFonts w:ascii="宋体" w:hAnsi="宋体" w:hint="eastAsia"/>
                <w:color w:val="000000"/>
                <w:szCs w:val="21"/>
              </w:rPr>
              <w:t>1.1</w:t>
            </w:r>
          </w:p>
        </w:tc>
        <w:tc>
          <w:tcPr>
            <w:tcW w:w="10208" w:type="dxa"/>
            <w:tcBorders>
              <w:bottom w:val="single" w:sz="4" w:space="0" w:color="auto"/>
            </w:tcBorders>
            <w:vAlign w:val="center"/>
          </w:tcPr>
          <w:p w:rsidR="009E3224" w:rsidRDefault="009E3224" w:rsidP="001541CE">
            <w:pPr>
              <w:snapToGrid w:val="0"/>
              <w:spacing w:line="240" w:lineRule="atLeast"/>
              <w:rPr>
                <w:rFonts w:ascii="宋体" w:hAnsi="宋体"/>
                <w:szCs w:val="21"/>
              </w:rPr>
            </w:pPr>
            <w:r>
              <w:rPr>
                <w:rFonts w:ascii="宋体" w:hAnsi="宋体" w:hint="eastAsia"/>
                <w:szCs w:val="21"/>
              </w:rPr>
              <w:t>选择地势干燥、有给排水条件和电力供应的地区，不得设在易受到污染的区域。距离非水冲式公共厕所、粪坑、污水池、垃圾场（站、房）等污染源</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宋体" w:hAnsi="宋体" w:hint="eastAsia"/>
                  <w:szCs w:val="21"/>
                </w:rPr>
                <w:t>25m</w:t>
              </w:r>
            </w:smartTag>
            <w:r>
              <w:rPr>
                <w:rFonts w:ascii="宋体" w:hAnsi="宋体" w:hint="eastAsia"/>
                <w:szCs w:val="21"/>
              </w:rPr>
              <w:t>以上，并设置在粉尘、有害气体、放射性物质和其他扩散性污染源的影响范围之外。</w:t>
            </w:r>
          </w:p>
        </w:tc>
        <w:tc>
          <w:tcPr>
            <w:tcW w:w="1073" w:type="dxa"/>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404"/>
          <w:jc w:val="center"/>
        </w:trPr>
        <w:tc>
          <w:tcPr>
            <w:tcW w:w="1859" w:type="dxa"/>
            <w:tcBorders>
              <w:bottom w:val="single" w:sz="4" w:space="0" w:color="auto"/>
            </w:tcBorders>
            <w:vAlign w:val="center"/>
          </w:tcPr>
          <w:p w:rsidR="009E3224" w:rsidRDefault="009E3224" w:rsidP="001541CE">
            <w:pPr>
              <w:jc w:val="center"/>
              <w:rPr>
                <w:rFonts w:ascii="宋体" w:hAnsi="宋体" w:hint="eastAsia"/>
                <w:color w:val="000000"/>
                <w:szCs w:val="21"/>
              </w:rPr>
            </w:pPr>
            <w:r>
              <w:rPr>
                <w:rFonts w:ascii="宋体" w:hAnsi="宋体" w:hint="eastAsia"/>
                <w:color w:val="000000"/>
                <w:szCs w:val="21"/>
              </w:rPr>
              <w:t>2.加工方式</w:t>
            </w:r>
          </w:p>
        </w:tc>
        <w:tc>
          <w:tcPr>
            <w:tcW w:w="851" w:type="dxa"/>
            <w:tcBorders>
              <w:bottom w:val="single" w:sz="4" w:space="0" w:color="auto"/>
            </w:tcBorders>
            <w:vAlign w:val="center"/>
          </w:tcPr>
          <w:p w:rsidR="009E3224" w:rsidRDefault="009E3224" w:rsidP="001541CE">
            <w:pPr>
              <w:ind w:firstLineChars="50" w:firstLine="105"/>
              <w:rPr>
                <w:rFonts w:ascii="宋体" w:hAnsi="宋体"/>
                <w:color w:val="000000"/>
                <w:szCs w:val="21"/>
              </w:rPr>
            </w:pPr>
            <w:r>
              <w:rPr>
                <w:rFonts w:ascii="宋体" w:hAnsi="宋体" w:hint="eastAsia"/>
                <w:color w:val="000000"/>
                <w:szCs w:val="21"/>
              </w:rPr>
              <w:t>2.1</w:t>
            </w:r>
          </w:p>
        </w:tc>
        <w:tc>
          <w:tcPr>
            <w:tcW w:w="10208" w:type="dxa"/>
            <w:tcBorders>
              <w:bottom w:val="single" w:sz="4" w:space="0" w:color="auto"/>
            </w:tcBorders>
            <w:vAlign w:val="center"/>
          </w:tcPr>
          <w:p w:rsidR="009E3224" w:rsidRDefault="009E3224" w:rsidP="001541CE">
            <w:pPr>
              <w:rPr>
                <w:rFonts w:ascii="宋体" w:hAnsi="宋体"/>
                <w:szCs w:val="21"/>
              </w:rPr>
            </w:pPr>
            <w:r>
              <w:rPr>
                <w:rFonts w:ascii="宋体" w:hAnsi="宋体" w:hint="eastAsia"/>
                <w:szCs w:val="21"/>
              </w:rPr>
              <w:t>采用《上海市集体用餐配送监督管理办法》规定的冷藏、加热保温或者高温灭菌以及符合要求的其他方式进行加工，设置与加工方式相适应的生产加工经营场地和设施设备。</w:t>
            </w:r>
          </w:p>
        </w:tc>
        <w:tc>
          <w:tcPr>
            <w:tcW w:w="1073" w:type="dxa"/>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1072"/>
          <w:jc w:val="center"/>
        </w:trPr>
        <w:tc>
          <w:tcPr>
            <w:tcW w:w="1859" w:type="dxa"/>
            <w:vMerge w:val="restart"/>
            <w:vAlign w:val="center"/>
          </w:tcPr>
          <w:p w:rsidR="009E3224" w:rsidRPr="00F86C2A" w:rsidRDefault="009E3224" w:rsidP="001541CE">
            <w:pPr>
              <w:jc w:val="center"/>
              <w:rPr>
                <w:rFonts w:ascii="宋体" w:hAnsi="宋体" w:hint="eastAsia"/>
                <w:color w:val="000000"/>
                <w:sz w:val="18"/>
                <w:szCs w:val="18"/>
              </w:rPr>
            </w:pPr>
            <w:r>
              <w:rPr>
                <w:rFonts w:ascii="宋体" w:hAnsi="宋体" w:hint="eastAsia"/>
                <w:color w:val="000000"/>
                <w:szCs w:val="21"/>
              </w:rPr>
              <w:t>3.加工场所设置</w:t>
            </w:r>
          </w:p>
        </w:tc>
        <w:tc>
          <w:tcPr>
            <w:tcW w:w="851" w:type="dxa"/>
            <w:vAlign w:val="center"/>
          </w:tcPr>
          <w:p w:rsidR="009E3224" w:rsidRDefault="009E3224" w:rsidP="001541CE">
            <w:pPr>
              <w:jc w:val="center"/>
              <w:rPr>
                <w:rFonts w:ascii="宋体" w:hAnsi="宋体"/>
                <w:color w:val="000000"/>
                <w:szCs w:val="21"/>
              </w:rPr>
            </w:pPr>
            <w:r>
              <w:rPr>
                <w:rFonts w:ascii="宋体" w:hAnsi="宋体" w:hint="eastAsia"/>
                <w:color w:val="000000"/>
                <w:szCs w:val="21"/>
              </w:rPr>
              <w:t>3.1</w:t>
            </w:r>
          </w:p>
        </w:tc>
        <w:tc>
          <w:tcPr>
            <w:tcW w:w="10208" w:type="dxa"/>
            <w:vAlign w:val="center"/>
          </w:tcPr>
          <w:p w:rsidR="009E3224" w:rsidRDefault="009E3224" w:rsidP="001541CE">
            <w:pPr>
              <w:snapToGrid w:val="0"/>
              <w:spacing w:line="240" w:lineRule="atLeast"/>
              <w:rPr>
                <w:rFonts w:ascii="宋体" w:hAnsi="宋体"/>
                <w:szCs w:val="21"/>
              </w:rPr>
            </w:pPr>
            <w:r>
              <w:rPr>
                <w:rFonts w:ascii="宋体" w:hAnsi="宋体" w:hint="eastAsia"/>
                <w:szCs w:val="21"/>
              </w:rPr>
              <w:t>应设置与生产工艺及生产品种、数量相适应的原料贮存、原料加工、半成品贮存、烹调热加工、食品冷却（冷链工艺产品）、盒饭分装（盒饭生产企业）、膳食暂存（</w:t>
            </w:r>
            <w:proofErr w:type="gramStart"/>
            <w:r>
              <w:rPr>
                <w:rFonts w:ascii="宋体" w:hAnsi="宋体" w:hint="eastAsia"/>
                <w:szCs w:val="21"/>
              </w:rPr>
              <w:t>桶饭生产</w:t>
            </w:r>
            <w:proofErr w:type="gramEnd"/>
            <w:r>
              <w:rPr>
                <w:rFonts w:ascii="宋体" w:hAnsi="宋体" w:hint="eastAsia"/>
                <w:szCs w:val="21"/>
              </w:rPr>
              <w:t>企业）、装箱、成品储存配送、工用具清洗消毒和保洁等生产加工场所，以及更衣室、检验室等。其中烹调热加工、食品冷却（冷链工艺产品）、盒饭分装（盒饭生产企业）、膳食暂存（</w:t>
            </w:r>
            <w:proofErr w:type="gramStart"/>
            <w:r>
              <w:rPr>
                <w:rFonts w:ascii="宋体" w:hAnsi="宋体" w:hint="eastAsia"/>
                <w:szCs w:val="21"/>
              </w:rPr>
              <w:t>桶饭生产</w:t>
            </w:r>
            <w:proofErr w:type="gramEnd"/>
            <w:r>
              <w:rPr>
                <w:rFonts w:ascii="宋体" w:hAnsi="宋体" w:hint="eastAsia"/>
                <w:szCs w:val="21"/>
              </w:rPr>
              <w:t>企业）、工用具清洗消毒和保洁等生产加工场所应设置为独立隔间。生产加工场所分为一般作业区、准清洁作业区、清洁作业区，各作业区均应设置在室内，且应相互分隔。</w:t>
            </w:r>
          </w:p>
        </w:tc>
        <w:tc>
          <w:tcPr>
            <w:tcW w:w="1073" w:type="dxa"/>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352"/>
          <w:jc w:val="center"/>
        </w:trPr>
        <w:tc>
          <w:tcPr>
            <w:tcW w:w="1859" w:type="dxa"/>
            <w:vMerge/>
            <w:vAlign w:val="center"/>
          </w:tcPr>
          <w:p w:rsidR="009E3224" w:rsidRDefault="009E3224" w:rsidP="001541CE">
            <w:pPr>
              <w:jc w:val="center"/>
              <w:rPr>
                <w:rFonts w:ascii="宋体" w:hAnsi="宋体"/>
                <w:color w:val="000000"/>
                <w:szCs w:val="21"/>
              </w:rPr>
            </w:pPr>
          </w:p>
        </w:tc>
        <w:tc>
          <w:tcPr>
            <w:tcW w:w="851" w:type="dxa"/>
            <w:vAlign w:val="center"/>
          </w:tcPr>
          <w:p w:rsidR="009E3224" w:rsidRDefault="009E3224" w:rsidP="001541CE">
            <w:pPr>
              <w:jc w:val="center"/>
              <w:rPr>
                <w:rFonts w:ascii="宋体" w:hAnsi="宋体"/>
                <w:color w:val="000000"/>
                <w:szCs w:val="21"/>
              </w:rPr>
            </w:pPr>
            <w:r>
              <w:rPr>
                <w:rFonts w:ascii="宋体" w:hAnsi="宋体" w:hint="eastAsia"/>
                <w:color w:val="000000"/>
                <w:szCs w:val="21"/>
              </w:rPr>
              <w:t>3.2</w:t>
            </w:r>
          </w:p>
        </w:tc>
        <w:tc>
          <w:tcPr>
            <w:tcW w:w="10208" w:type="dxa"/>
            <w:vAlign w:val="center"/>
          </w:tcPr>
          <w:p w:rsidR="009E3224" w:rsidRDefault="009E3224" w:rsidP="001541CE">
            <w:pPr>
              <w:snapToGrid w:val="0"/>
              <w:spacing w:line="240" w:lineRule="atLeast"/>
              <w:rPr>
                <w:rFonts w:ascii="宋体" w:hAnsi="宋体"/>
                <w:kern w:val="0"/>
                <w:szCs w:val="21"/>
              </w:rPr>
            </w:pPr>
            <w:r>
              <w:rPr>
                <w:rFonts w:ascii="宋体" w:hAnsi="宋体" w:hint="eastAsia"/>
                <w:kern w:val="0"/>
                <w:szCs w:val="21"/>
              </w:rPr>
              <w:t>加工经营场所内无圈养、宰杀活的禽畜类动物的区域（或距离</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宋体" w:hAnsi="宋体" w:hint="eastAsia"/>
                  <w:kern w:val="0"/>
                  <w:szCs w:val="21"/>
                </w:rPr>
                <w:t>25m</w:t>
              </w:r>
            </w:smartTag>
            <w:r>
              <w:rPr>
                <w:rFonts w:ascii="宋体" w:hAnsi="宋体" w:hint="eastAsia"/>
                <w:kern w:val="0"/>
                <w:szCs w:val="21"/>
              </w:rPr>
              <w:t>以上）。</w:t>
            </w:r>
          </w:p>
        </w:tc>
        <w:tc>
          <w:tcPr>
            <w:tcW w:w="1073" w:type="dxa"/>
            <w:vAlign w:val="center"/>
          </w:tcPr>
          <w:p w:rsidR="009E3224" w:rsidRDefault="009E3224" w:rsidP="001541CE">
            <w:pPr>
              <w:rPr>
                <w:rFonts w:ascii="宋体" w:hAnsi="宋体"/>
                <w:kern w:val="0"/>
                <w:szCs w:val="21"/>
              </w:rPr>
            </w:pPr>
            <w:r>
              <w:rPr>
                <w:rFonts w:ascii="宋体" w:hAnsi="宋体" w:hint="eastAsia"/>
                <w:kern w:val="0"/>
                <w:szCs w:val="21"/>
              </w:rPr>
              <w:t>***</w:t>
            </w:r>
          </w:p>
        </w:tc>
      </w:tr>
      <w:tr w:rsidR="009E3224" w:rsidTr="001541CE">
        <w:trPr>
          <w:cantSplit/>
          <w:trHeight w:val="352"/>
          <w:jc w:val="center"/>
        </w:trPr>
        <w:tc>
          <w:tcPr>
            <w:tcW w:w="1859" w:type="dxa"/>
            <w:vMerge/>
            <w:vAlign w:val="center"/>
          </w:tcPr>
          <w:p w:rsidR="009E3224" w:rsidRDefault="009E3224" w:rsidP="001541CE">
            <w:pPr>
              <w:jc w:val="center"/>
              <w:rPr>
                <w:rFonts w:ascii="宋体" w:hAnsi="宋体"/>
                <w:color w:val="000000"/>
                <w:szCs w:val="21"/>
              </w:rPr>
            </w:pPr>
          </w:p>
        </w:tc>
        <w:tc>
          <w:tcPr>
            <w:tcW w:w="851" w:type="dxa"/>
            <w:vAlign w:val="center"/>
          </w:tcPr>
          <w:p w:rsidR="009E3224" w:rsidRDefault="009E3224" w:rsidP="001541CE">
            <w:pPr>
              <w:jc w:val="center"/>
              <w:rPr>
                <w:rFonts w:ascii="宋体" w:hAnsi="宋体"/>
                <w:color w:val="000000"/>
                <w:szCs w:val="21"/>
              </w:rPr>
            </w:pPr>
            <w:r>
              <w:rPr>
                <w:rFonts w:ascii="宋体" w:hAnsi="宋体" w:hint="eastAsia"/>
                <w:color w:val="000000"/>
                <w:szCs w:val="21"/>
              </w:rPr>
              <w:t>3.3</w:t>
            </w:r>
          </w:p>
        </w:tc>
        <w:tc>
          <w:tcPr>
            <w:tcW w:w="10208" w:type="dxa"/>
            <w:vAlign w:val="center"/>
          </w:tcPr>
          <w:p w:rsidR="009E3224" w:rsidRDefault="009E3224" w:rsidP="001541CE">
            <w:pPr>
              <w:snapToGrid w:val="0"/>
              <w:spacing w:line="240" w:lineRule="atLeast"/>
              <w:rPr>
                <w:rFonts w:ascii="宋体" w:hAnsi="宋体"/>
                <w:kern w:val="0"/>
                <w:szCs w:val="21"/>
              </w:rPr>
            </w:pPr>
            <w:r>
              <w:rPr>
                <w:rFonts w:ascii="宋体" w:hAnsi="宋体" w:hint="eastAsia"/>
              </w:rPr>
              <w:t>生产加工场所</w:t>
            </w:r>
            <w:r>
              <w:rPr>
                <w:rFonts w:ascii="宋体" w:hAnsi="宋体"/>
              </w:rPr>
              <w:t>天花板离地面</w:t>
            </w:r>
            <w:r>
              <w:rPr>
                <w:rFonts w:ascii="宋体" w:hAnsi="宋体" w:hint="eastAsia"/>
              </w:rPr>
              <w:t>距离≥</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宋体" w:hAnsi="宋体"/>
                </w:rPr>
                <w:t>2.5m</w:t>
              </w:r>
            </w:smartTag>
            <w:r>
              <w:rPr>
                <w:rFonts w:ascii="宋体" w:hAnsi="宋体" w:hint="eastAsia"/>
              </w:rPr>
              <w:t>，并</w:t>
            </w:r>
            <w:r>
              <w:rPr>
                <w:rFonts w:ascii="宋体" w:hAnsi="宋体"/>
              </w:rPr>
              <w:t>采用机械通风使换气量符合JGJ64《饮食建筑设计规范》要求。</w:t>
            </w:r>
            <w:r>
              <w:rPr>
                <w:rFonts w:ascii="宋体" w:hAnsi="宋体" w:hint="eastAsia"/>
                <w:szCs w:val="21"/>
              </w:rPr>
              <w:t>其中，烹饪热加工场所的天花板宜离地面</w:t>
            </w:r>
            <w:smartTag w:uri="urn:schemas-microsoft-com:office:smarttags" w:element="chmetcnv">
              <w:smartTagPr>
                <w:attr w:name="TCSC" w:val="0"/>
                <w:attr w:name="NumberType" w:val="1"/>
                <w:attr w:name="Negative" w:val="False"/>
                <w:attr w:name="HasSpace" w:val="False"/>
                <w:attr w:name="SourceValue" w:val="3"/>
                <w:attr w:name="UnitName" w:val="米"/>
              </w:smartTagPr>
              <w:r>
                <w:rPr>
                  <w:rFonts w:ascii="宋体" w:hAnsi="宋体" w:hint="eastAsia"/>
                  <w:szCs w:val="21"/>
                </w:rPr>
                <w:t>3米</w:t>
              </w:r>
            </w:smartTag>
            <w:r>
              <w:rPr>
                <w:rFonts w:ascii="宋体" w:hAnsi="宋体" w:hint="eastAsia"/>
                <w:szCs w:val="21"/>
              </w:rPr>
              <w:t>以上。</w:t>
            </w:r>
          </w:p>
        </w:tc>
        <w:tc>
          <w:tcPr>
            <w:tcW w:w="1073" w:type="dxa"/>
            <w:vAlign w:val="center"/>
          </w:tcPr>
          <w:p w:rsidR="009E3224" w:rsidRDefault="009E3224" w:rsidP="001541CE">
            <w:pPr>
              <w:rPr>
                <w:rFonts w:ascii="宋体" w:hAnsi="宋体"/>
                <w:kern w:val="0"/>
                <w:szCs w:val="21"/>
              </w:rPr>
            </w:pPr>
            <w:r>
              <w:rPr>
                <w:rFonts w:ascii="宋体" w:hAnsi="宋体" w:hint="eastAsia"/>
              </w:rPr>
              <w:t>*</w:t>
            </w:r>
          </w:p>
        </w:tc>
      </w:tr>
      <w:tr w:rsidR="009E3224" w:rsidTr="001541CE">
        <w:trPr>
          <w:cantSplit/>
          <w:trHeight w:val="352"/>
          <w:jc w:val="center"/>
        </w:trPr>
        <w:tc>
          <w:tcPr>
            <w:tcW w:w="1859" w:type="dxa"/>
            <w:vMerge/>
            <w:vAlign w:val="center"/>
          </w:tcPr>
          <w:p w:rsidR="009E3224" w:rsidRDefault="009E3224" w:rsidP="001541CE">
            <w:pPr>
              <w:jc w:val="center"/>
              <w:rPr>
                <w:rFonts w:ascii="宋体" w:hAnsi="宋体"/>
                <w:color w:val="000000"/>
                <w:szCs w:val="21"/>
              </w:rPr>
            </w:pPr>
          </w:p>
        </w:tc>
        <w:tc>
          <w:tcPr>
            <w:tcW w:w="851" w:type="dxa"/>
            <w:vAlign w:val="center"/>
          </w:tcPr>
          <w:p w:rsidR="009E3224" w:rsidRDefault="009E3224" w:rsidP="001541CE">
            <w:pPr>
              <w:jc w:val="center"/>
              <w:rPr>
                <w:rFonts w:ascii="宋体" w:hAnsi="宋体" w:hint="eastAsia"/>
                <w:color w:val="000000"/>
                <w:szCs w:val="21"/>
              </w:rPr>
            </w:pPr>
            <w:r>
              <w:rPr>
                <w:rFonts w:ascii="宋体" w:hAnsi="宋体" w:hint="eastAsia"/>
                <w:color w:val="000000"/>
                <w:szCs w:val="21"/>
              </w:rPr>
              <w:t>3.4</w:t>
            </w:r>
          </w:p>
        </w:tc>
        <w:tc>
          <w:tcPr>
            <w:tcW w:w="10208" w:type="dxa"/>
            <w:vAlign w:val="center"/>
          </w:tcPr>
          <w:p w:rsidR="009E3224" w:rsidRDefault="009E3224" w:rsidP="001541CE">
            <w:pPr>
              <w:snapToGrid w:val="0"/>
              <w:spacing w:line="240" w:lineRule="atLeast"/>
              <w:rPr>
                <w:rFonts w:ascii="宋体" w:hAnsi="宋体" w:hint="eastAsia"/>
              </w:rPr>
            </w:pPr>
            <w:r>
              <w:rPr>
                <w:rFonts w:ascii="宋体" w:hAnsi="宋体" w:hint="eastAsia"/>
              </w:rPr>
              <w:t>生产加工场所建筑内部使用的建筑材料应牢固并耐用，无严重破损、积垢。</w:t>
            </w:r>
          </w:p>
        </w:tc>
        <w:tc>
          <w:tcPr>
            <w:tcW w:w="1073" w:type="dxa"/>
            <w:vAlign w:val="center"/>
          </w:tcPr>
          <w:p w:rsidR="009E3224" w:rsidRDefault="009E3224" w:rsidP="001541CE">
            <w:pPr>
              <w:rPr>
                <w:rFonts w:ascii="宋体" w:hAnsi="宋体" w:hint="eastAsia"/>
              </w:rPr>
            </w:pPr>
            <w:r>
              <w:rPr>
                <w:rFonts w:ascii="宋体" w:hAnsi="宋体" w:hint="eastAsia"/>
                <w:kern w:val="0"/>
                <w:szCs w:val="21"/>
              </w:rPr>
              <w:t>**</w:t>
            </w:r>
          </w:p>
        </w:tc>
      </w:tr>
      <w:tr w:rsidR="009E3224" w:rsidTr="001541CE">
        <w:trPr>
          <w:cantSplit/>
          <w:trHeight w:val="383"/>
          <w:jc w:val="center"/>
        </w:trPr>
        <w:tc>
          <w:tcPr>
            <w:tcW w:w="1859" w:type="dxa"/>
            <w:vMerge/>
            <w:vAlign w:val="center"/>
          </w:tcPr>
          <w:p w:rsidR="009E3224" w:rsidRDefault="009E3224" w:rsidP="001541CE">
            <w:pPr>
              <w:jc w:val="center"/>
              <w:rPr>
                <w:rFonts w:ascii="宋体" w:hAnsi="宋体"/>
                <w:color w:val="000000"/>
                <w:szCs w:val="21"/>
              </w:rPr>
            </w:pPr>
          </w:p>
        </w:tc>
        <w:tc>
          <w:tcPr>
            <w:tcW w:w="851" w:type="dxa"/>
            <w:vAlign w:val="center"/>
          </w:tcPr>
          <w:p w:rsidR="009E3224" w:rsidRDefault="009E3224" w:rsidP="001541CE">
            <w:pPr>
              <w:jc w:val="center"/>
              <w:rPr>
                <w:rFonts w:ascii="宋体" w:hAnsi="宋体" w:hint="eastAsia"/>
                <w:color w:val="000000"/>
                <w:szCs w:val="21"/>
              </w:rPr>
            </w:pPr>
            <w:r>
              <w:rPr>
                <w:rFonts w:ascii="宋体" w:hAnsi="宋体" w:hint="eastAsia"/>
                <w:color w:val="000000"/>
                <w:szCs w:val="21"/>
              </w:rPr>
              <w:t>3.5</w:t>
            </w:r>
          </w:p>
        </w:tc>
        <w:tc>
          <w:tcPr>
            <w:tcW w:w="10208" w:type="dxa"/>
            <w:vAlign w:val="center"/>
          </w:tcPr>
          <w:p w:rsidR="009E3224" w:rsidRPr="002B709B" w:rsidRDefault="009E3224" w:rsidP="001541CE">
            <w:pPr>
              <w:snapToGrid w:val="0"/>
              <w:spacing w:line="240" w:lineRule="atLeast"/>
              <w:rPr>
                <w:rFonts w:ascii="宋体" w:hAnsi="宋体" w:hint="eastAsia"/>
                <w:szCs w:val="21"/>
              </w:rPr>
            </w:pPr>
            <w:r w:rsidRPr="002B709B">
              <w:rPr>
                <w:rFonts w:ascii="宋体" w:hAnsi="宋体" w:hint="eastAsia"/>
                <w:szCs w:val="21"/>
              </w:rPr>
              <w:t>使用煤油炉灶的，燃料储存容器应设置在烹饪热加工场所外。</w:t>
            </w:r>
          </w:p>
        </w:tc>
        <w:tc>
          <w:tcPr>
            <w:tcW w:w="1073" w:type="dxa"/>
            <w:vAlign w:val="center"/>
          </w:tcPr>
          <w:p w:rsidR="009E3224" w:rsidRPr="002B709B" w:rsidRDefault="009E3224" w:rsidP="001541CE">
            <w:pPr>
              <w:rPr>
                <w:rFonts w:ascii="宋体" w:hAnsi="宋体" w:hint="eastAsia"/>
              </w:rPr>
            </w:pPr>
            <w:r>
              <w:rPr>
                <w:rFonts w:ascii="宋体" w:hAnsi="宋体" w:hint="eastAsia"/>
                <w:kern w:val="0"/>
                <w:szCs w:val="21"/>
              </w:rPr>
              <w:t>**</w:t>
            </w:r>
          </w:p>
        </w:tc>
      </w:tr>
      <w:tr w:rsidR="009E3224" w:rsidTr="001541CE">
        <w:trPr>
          <w:cantSplit/>
          <w:trHeight w:val="1294"/>
          <w:jc w:val="center"/>
        </w:trPr>
        <w:tc>
          <w:tcPr>
            <w:tcW w:w="1859" w:type="dxa"/>
            <w:vMerge w:val="restart"/>
            <w:vAlign w:val="center"/>
          </w:tcPr>
          <w:p w:rsidR="009E3224" w:rsidRDefault="009E3224" w:rsidP="001541CE">
            <w:pPr>
              <w:jc w:val="center"/>
              <w:rPr>
                <w:rFonts w:ascii="宋体" w:hAnsi="宋体" w:hint="eastAsia"/>
                <w:color w:val="000000"/>
                <w:szCs w:val="21"/>
              </w:rPr>
            </w:pPr>
            <w:r>
              <w:rPr>
                <w:rFonts w:ascii="宋体" w:hAnsi="宋体" w:hint="eastAsia"/>
                <w:color w:val="000000"/>
                <w:szCs w:val="21"/>
              </w:rPr>
              <w:t>4.加工场所布局</w:t>
            </w:r>
          </w:p>
        </w:tc>
        <w:tc>
          <w:tcPr>
            <w:tcW w:w="851" w:type="dxa"/>
            <w:vAlign w:val="center"/>
          </w:tcPr>
          <w:p w:rsidR="009E3224" w:rsidRDefault="009E3224" w:rsidP="001541CE">
            <w:pPr>
              <w:jc w:val="center"/>
              <w:rPr>
                <w:rFonts w:ascii="宋体" w:hAnsi="宋体"/>
                <w:color w:val="000000"/>
                <w:szCs w:val="21"/>
              </w:rPr>
            </w:pPr>
            <w:r>
              <w:rPr>
                <w:rFonts w:ascii="宋体" w:hAnsi="宋体" w:hint="eastAsia"/>
                <w:color w:val="000000"/>
                <w:szCs w:val="21"/>
              </w:rPr>
              <w:t>4.1</w:t>
            </w:r>
          </w:p>
        </w:tc>
        <w:tc>
          <w:tcPr>
            <w:tcW w:w="10208" w:type="dxa"/>
            <w:vAlign w:val="center"/>
          </w:tcPr>
          <w:p w:rsidR="009E3224" w:rsidRDefault="009E3224" w:rsidP="001541CE">
            <w:pPr>
              <w:rPr>
                <w:rFonts w:ascii="宋体" w:hAnsi="宋体"/>
                <w:szCs w:val="21"/>
              </w:rPr>
            </w:pPr>
            <w:r>
              <w:rPr>
                <w:rFonts w:ascii="宋体" w:hAnsi="宋体" w:hint="eastAsia"/>
                <w:szCs w:val="21"/>
              </w:rPr>
              <w:t>生产加工场所应按照原料进入、原料处理、半成品加工、成品制作、食品冷却、盒饭分装、膳食暂存、成品储存配送的顺序合理布局，食品加工处理流程应为生</w:t>
            </w:r>
            <w:proofErr w:type="gramStart"/>
            <w:r>
              <w:rPr>
                <w:rFonts w:ascii="宋体" w:hAnsi="宋体" w:hint="eastAsia"/>
                <w:szCs w:val="21"/>
              </w:rPr>
              <w:t>进熟出</w:t>
            </w:r>
            <w:proofErr w:type="gramEnd"/>
            <w:r>
              <w:rPr>
                <w:rFonts w:ascii="宋体" w:hAnsi="宋体" w:hint="eastAsia"/>
                <w:szCs w:val="21"/>
              </w:rPr>
              <w:t>的单一流向，防止食品在贮存和生产加工过程中造成交叉污染，避免食品接触有毒物和不洁物。成品通道、出口与原料通道、入口以及使用后的周转箱、餐饮具回收通道、入口三者均应分开设置。</w:t>
            </w:r>
          </w:p>
        </w:tc>
        <w:tc>
          <w:tcPr>
            <w:tcW w:w="1073" w:type="dxa"/>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406"/>
          <w:jc w:val="center"/>
        </w:trPr>
        <w:tc>
          <w:tcPr>
            <w:tcW w:w="1859" w:type="dxa"/>
            <w:vMerge/>
            <w:vAlign w:val="center"/>
          </w:tcPr>
          <w:p w:rsidR="009E3224" w:rsidRDefault="009E3224" w:rsidP="001541CE">
            <w:pPr>
              <w:jc w:val="center"/>
              <w:rPr>
                <w:rFonts w:ascii="宋体" w:hAnsi="宋体"/>
                <w:color w:val="000000"/>
                <w:szCs w:val="21"/>
              </w:rPr>
            </w:pPr>
          </w:p>
        </w:tc>
        <w:tc>
          <w:tcPr>
            <w:tcW w:w="851" w:type="dxa"/>
            <w:vAlign w:val="center"/>
          </w:tcPr>
          <w:p w:rsidR="009E3224" w:rsidRDefault="009E3224" w:rsidP="001541CE">
            <w:pPr>
              <w:jc w:val="center"/>
              <w:rPr>
                <w:rFonts w:ascii="宋体" w:hAnsi="宋体"/>
                <w:color w:val="000000"/>
                <w:szCs w:val="21"/>
              </w:rPr>
            </w:pPr>
            <w:r>
              <w:rPr>
                <w:rFonts w:ascii="宋体" w:hAnsi="宋体" w:hint="eastAsia"/>
                <w:color w:val="000000"/>
                <w:szCs w:val="21"/>
              </w:rPr>
              <w:t>4.2</w:t>
            </w:r>
          </w:p>
        </w:tc>
        <w:tc>
          <w:tcPr>
            <w:tcW w:w="10208" w:type="dxa"/>
            <w:vAlign w:val="center"/>
          </w:tcPr>
          <w:p w:rsidR="009E3224" w:rsidRDefault="009E3224" w:rsidP="001541CE">
            <w:pPr>
              <w:rPr>
                <w:rFonts w:ascii="宋体" w:hAnsi="宋体"/>
                <w:szCs w:val="21"/>
              </w:rPr>
            </w:pPr>
            <w:r>
              <w:rPr>
                <w:rFonts w:ascii="宋体" w:hAnsi="宋体" w:hint="eastAsia"/>
              </w:rPr>
              <w:t>各类场所（功能间）、区域有明显的区分标识。</w:t>
            </w:r>
          </w:p>
        </w:tc>
        <w:tc>
          <w:tcPr>
            <w:tcW w:w="1073" w:type="dxa"/>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406"/>
          <w:jc w:val="center"/>
        </w:trPr>
        <w:tc>
          <w:tcPr>
            <w:tcW w:w="1859" w:type="dxa"/>
            <w:vMerge w:val="restart"/>
            <w:vAlign w:val="center"/>
          </w:tcPr>
          <w:p w:rsidR="009E3224" w:rsidRDefault="009E3224" w:rsidP="001541CE">
            <w:pPr>
              <w:jc w:val="center"/>
              <w:rPr>
                <w:rFonts w:ascii="宋体" w:hAnsi="宋体" w:hint="eastAsia"/>
                <w:kern w:val="0"/>
                <w:szCs w:val="21"/>
              </w:rPr>
            </w:pPr>
            <w:r>
              <w:rPr>
                <w:rFonts w:ascii="宋体" w:hAnsi="宋体" w:hint="eastAsia"/>
                <w:kern w:val="0"/>
                <w:szCs w:val="21"/>
              </w:rPr>
              <w:t>5.加工场所面积</w:t>
            </w:r>
          </w:p>
        </w:tc>
        <w:tc>
          <w:tcPr>
            <w:tcW w:w="851" w:type="dxa"/>
            <w:vAlign w:val="center"/>
          </w:tcPr>
          <w:p w:rsidR="009E3224" w:rsidRDefault="009E3224" w:rsidP="001541CE">
            <w:pPr>
              <w:jc w:val="center"/>
              <w:rPr>
                <w:rFonts w:ascii="宋体" w:hAnsi="宋体"/>
                <w:kern w:val="0"/>
                <w:szCs w:val="21"/>
              </w:rPr>
            </w:pPr>
            <w:r>
              <w:rPr>
                <w:rFonts w:ascii="宋体" w:hAnsi="宋体" w:hint="eastAsia"/>
                <w:kern w:val="0"/>
                <w:szCs w:val="21"/>
              </w:rPr>
              <w:t>5.1</w:t>
            </w:r>
          </w:p>
        </w:tc>
        <w:tc>
          <w:tcPr>
            <w:tcW w:w="10208" w:type="dxa"/>
            <w:vAlign w:val="center"/>
          </w:tcPr>
          <w:p w:rsidR="009E3224" w:rsidRDefault="009E3224" w:rsidP="001541CE">
            <w:pPr>
              <w:rPr>
                <w:rFonts w:ascii="宋体" w:hAnsi="宋体"/>
                <w:szCs w:val="21"/>
              </w:rPr>
            </w:pPr>
            <w:proofErr w:type="gramStart"/>
            <w:r>
              <w:rPr>
                <w:rFonts w:ascii="宋体" w:hAnsi="宋体" w:hint="eastAsia"/>
                <w:szCs w:val="21"/>
              </w:rPr>
              <w:t>单餐或</w:t>
            </w:r>
            <w:proofErr w:type="gramEnd"/>
            <w:r>
              <w:rPr>
                <w:rFonts w:ascii="宋体" w:hAnsi="宋体" w:hint="eastAsia"/>
                <w:szCs w:val="21"/>
              </w:rPr>
              <w:t>单班产量1000份以下的，加工场所总面积≥</w:t>
            </w:r>
            <w:smartTag w:uri="urn:schemas-microsoft-com:office:smarttags" w:element="chmetcnv">
              <w:smartTagPr>
                <w:attr w:name="TCSC" w:val="0"/>
                <w:attr w:name="NumberType" w:val="1"/>
                <w:attr w:name="Negative" w:val="False"/>
                <w:attr w:name="HasSpace" w:val="False"/>
                <w:attr w:name="SourceValue" w:val="500"/>
                <w:attr w:name="UnitName" w:val="m2"/>
              </w:smartTagPr>
              <w:r>
                <w:rPr>
                  <w:rFonts w:ascii="宋体" w:hAnsi="宋体" w:hint="eastAsia"/>
                  <w:szCs w:val="21"/>
                </w:rPr>
                <w:t>50</w:t>
              </w:r>
              <w:r w:rsidRPr="003A0067">
                <w:rPr>
                  <w:rFonts w:ascii="宋体" w:hAnsi="宋体" w:hint="eastAsia"/>
                  <w:szCs w:val="21"/>
                </w:rPr>
                <w:t>0m</w:t>
              </w:r>
              <w:r w:rsidRPr="003A0067">
                <w:rPr>
                  <w:rFonts w:ascii="宋体" w:hAnsi="宋体" w:hint="eastAsia"/>
                  <w:szCs w:val="21"/>
                  <w:vertAlign w:val="superscript"/>
                </w:rPr>
                <w:t>2</w:t>
              </w:r>
            </w:smartTag>
            <w:r w:rsidRPr="003A0067">
              <w:rPr>
                <w:rFonts w:ascii="宋体" w:hAnsi="宋体" w:hint="eastAsia"/>
                <w:szCs w:val="21"/>
              </w:rPr>
              <w:t>。各加工</w:t>
            </w:r>
            <w:r>
              <w:rPr>
                <w:rFonts w:ascii="宋体" w:hAnsi="宋体" w:hint="eastAsia"/>
                <w:szCs w:val="21"/>
              </w:rPr>
              <w:t>场所的面积应与生产加工品种和数量相适应，分装专间、冷却专间、清洗消毒场所、预处理间及切配间、烹饪间等关键场所面积比例应相互协调，其中烹饪间、分装专间、清洗消毒场所占加工场所总面积的比例应均不少于</w:t>
            </w:r>
            <w:r w:rsidRPr="00E6377C">
              <w:rPr>
                <w:szCs w:val="21"/>
              </w:rPr>
              <w:t>15%</w:t>
            </w:r>
            <w:r>
              <w:rPr>
                <w:rFonts w:ascii="宋体" w:hAnsi="宋体" w:hint="eastAsia"/>
                <w:szCs w:val="21"/>
              </w:rPr>
              <w:t>。</w:t>
            </w:r>
            <w:proofErr w:type="gramStart"/>
            <w:r>
              <w:rPr>
                <w:rFonts w:ascii="宋体" w:hAnsi="宋体" w:hint="eastAsia"/>
                <w:szCs w:val="21"/>
              </w:rPr>
              <w:t>单餐或</w:t>
            </w:r>
            <w:proofErr w:type="gramEnd"/>
            <w:r>
              <w:rPr>
                <w:rFonts w:ascii="宋体" w:hAnsi="宋体" w:hint="eastAsia"/>
                <w:szCs w:val="21"/>
              </w:rPr>
              <w:t>单班</w:t>
            </w:r>
            <w:r w:rsidRPr="008037B1">
              <w:rPr>
                <w:rFonts w:ascii="宋体" w:hAnsi="宋体" w:hint="eastAsia"/>
                <w:szCs w:val="21"/>
              </w:rPr>
              <w:t>产量</w:t>
            </w:r>
            <w:r>
              <w:rPr>
                <w:rFonts w:ascii="宋体" w:hAnsi="宋体" w:hint="eastAsia"/>
                <w:szCs w:val="21"/>
              </w:rPr>
              <w:t>1000份以上，3000份以下的，</w:t>
            </w:r>
            <w:r w:rsidRPr="008037B1">
              <w:rPr>
                <w:rFonts w:ascii="宋体" w:hAnsi="宋体" w:hint="eastAsia"/>
                <w:szCs w:val="21"/>
              </w:rPr>
              <w:t>每增加</w:t>
            </w:r>
            <w:r>
              <w:rPr>
                <w:rFonts w:ascii="宋体" w:hAnsi="宋体" w:hint="eastAsia"/>
                <w:szCs w:val="21"/>
              </w:rPr>
              <w:t>5</w:t>
            </w:r>
            <w:r w:rsidRPr="008037B1">
              <w:rPr>
                <w:rFonts w:ascii="宋体" w:hAnsi="宋体" w:hint="eastAsia"/>
                <w:szCs w:val="21"/>
              </w:rPr>
              <w:t>00份，</w:t>
            </w:r>
            <w:r>
              <w:rPr>
                <w:rFonts w:ascii="宋体" w:hAnsi="宋体" w:hint="eastAsia"/>
                <w:szCs w:val="21"/>
              </w:rPr>
              <w:t>加工场所</w:t>
            </w:r>
            <w:r w:rsidRPr="008037B1">
              <w:rPr>
                <w:rFonts w:ascii="宋体" w:hAnsi="宋体" w:hint="eastAsia"/>
                <w:szCs w:val="21"/>
              </w:rPr>
              <w:t>总面积</w:t>
            </w:r>
            <w:r>
              <w:rPr>
                <w:rFonts w:ascii="宋体" w:hAnsi="宋体" w:hint="eastAsia"/>
                <w:szCs w:val="21"/>
              </w:rPr>
              <w:t>和烹饪间、分装专间、清洗消毒场所面积</w:t>
            </w:r>
            <w:r w:rsidRPr="008037B1">
              <w:rPr>
                <w:rFonts w:ascii="宋体" w:hAnsi="宋体" w:hint="eastAsia"/>
                <w:szCs w:val="21"/>
              </w:rPr>
              <w:t>增加25</w:t>
            </w:r>
            <w:r w:rsidRPr="00E6377C">
              <w:rPr>
                <w:szCs w:val="21"/>
              </w:rPr>
              <w:t>%</w:t>
            </w:r>
            <w:r w:rsidRPr="008037B1">
              <w:rPr>
                <w:rFonts w:ascii="宋体" w:hAnsi="宋体" w:hint="eastAsia"/>
                <w:szCs w:val="21"/>
              </w:rPr>
              <w:t>以上。</w:t>
            </w:r>
            <w:proofErr w:type="gramStart"/>
            <w:r>
              <w:rPr>
                <w:rFonts w:ascii="宋体" w:hAnsi="宋体" w:hint="eastAsia"/>
                <w:szCs w:val="21"/>
              </w:rPr>
              <w:t>单餐或</w:t>
            </w:r>
            <w:proofErr w:type="gramEnd"/>
            <w:r>
              <w:rPr>
                <w:rFonts w:ascii="宋体" w:hAnsi="宋体" w:hint="eastAsia"/>
                <w:szCs w:val="21"/>
              </w:rPr>
              <w:t>单班</w:t>
            </w:r>
            <w:r w:rsidRPr="008037B1">
              <w:rPr>
                <w:rFonts w:ascii="宋体" w:hAnsi="宋体" w:hint="eastAsia"/>
                <w:szCs w:val="21"/>
              </w:rPr>
              <w:t>产量</w:t>
            </w:r>
            <w:r>
              <w:rPr>
                <w:rFonts w:ascii="宋体" w:hAnsi="宋体" w:hint="eastAsia"/>
                <w:szCs w:val="21"/>
              </w:rPr>
              <w:t>3000份以上的，</w:t>
            </w:r>
            <w:r w:rsidRPr="008037B1">
              <w:rPr>
                <w:rFonts w:ascii="宋体" w:hAnsi="宋体" w:hint="eastAsia"/>
                <w:szCs w:val="21"/>
              </w:rPr>
              <w:t>每增加</w:t>
            </w:r>
            <w:r>
              <w:rPr>
                <w:rFonts w:ascii="宋体" w:hAnsi="宋体" w:hint="eastAsia"/>
                <w:szCs w:val="21"/>
              </w:rPr>
              <w:t>10</w:t>
            </w:r>
            <w:r w:rsidRPr="008037B1">
              <w:rPr>
                <w:rFonts w:ascii="宋体" w:hAnsi="宋体" w:hint="eastAsia"/>
                <w:szCs w:val="21"/>
              </w:rPr>
              <w:t>00份，</w:t>
            </w:r>
            <w:r>
              <w:rPr>
                <w:rFonts w:ascii="宋体" w:hAnsi="宋体" w:hint="eastAsia"/>
                <w:szCs w:val="21"/>
              </w:rPr>
              <w:t>加工场所</w:t>
            </w:r>
            <w:r w:rsidRPr="008037B1">
              <w:rPr>
                <w:rFonts w:ascii="宋体" w:hAnsi="宋体" w:hint="eastAsia"/>
                <w:szCs w:val="21"/>
              </w:rPr>
              <w:t>总面积</w:t>
            </w:r>
            <w:r>
              <w:rPr>
                <w:rFonts w:ascii="宋体" w:hAnsi="宋体" w:hint="eastAsia"/>
                <w:szCs w:val="21"/>
              </w:rPr>
              <w:t>和烹饪间、分装专间、清洗消毒场所面积</w:t>
            </w:r>
            <w:r w:rsidRPr="008037B1">
              <w:rPr>
                <w:rFonts w:ascii="宋体" w:hAnsi="宋体" w:hint="eastAsia"/>
                <w:szCs w:val="21"/>
              </w:rPr>
              <w:t>增加25</w:t>
            </w:r>
            <w:r w:rsidRPr="00E6377C">
              <w:rPr>
                <w:szCs w:val="21"/>
              </w:rPr>
              <w:t>%</w:t>
            </w:r>
            <w:r w:rsidRPr="008037B1">
              <w:rPr>
                <w:rFonts w:ascii="宋体" w:hAnsi="宋体" w:hint="eastAsia"/>
                <w:szCs w:val="21"/>
              </w:rPr>
              <w:t>以上。</w:t>
            </w:r>
          </w:p>
        </w:tc>
        <w:tc>
          <w:tcPr>
            <w:tcW w:w="1073" w:type="dxa"/>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406"/>
          <w:jc w:val="center"/>
        </w:trPr>
        <w:tc>
          <w:tcPr>
            <w:tcW w:w="1859" w:type="dxa"/>
            <w:vMerge/>
            <w:vAlign w:val="center"/>
          </w:tcPr>
          <w:p w:rsidR="009E3224" w:rsidRDefault="009E3224" w:rsidP="001541CE">
            <w:pPr>
              <w:jc w:val="center"/>
              <w:rPr>
                <w:rFonts w:ascii="宋体" w:hAnsi="宋体"/>
                <w:color w:val="000000"/>
                <w:szCs w:val="21"/>
              </w:rPr>
            </w:pPr>
          </w:p>
        </w:tc>
        <w:tc>
          <w:tcPr>
            <w:tcW w:w="851" w:type="dxa"/>
            <w:vAlign w:val="center"/>
          </w:tcPr>
          <w:p w:rsidR="009E3224" w:rsidRDefault="009E3224" w:rsidP="001541CE">
            <w:pPr>
              <w:jc w:val="center"/>
              <w:rPr>
                <w:rFonts w:ascii="宋体" w:hAnsi="宋体"/>
                <w:color w:val="000000"/>
                <w:szCs w:val="21"/>
              </w:rPr>
            </w:pPr>
            <w:r>
              <w:rPr>
                <w:rFonts w:ascii="宋体" w:hAnsi="宋体" w:hint="eastAsia"/>
                <w:color w:val="000000"/>
                <w:szCs w:val="21"/>
              </w:rPr>
              <w:t>5.2</w:t>
            </w:r>
          </w:p>
        </w:tc>
        <w:tc>
          <w:tcPr>
            <w:tcW w:w="10208" w:type="dxa"/>
            <w:vAlign w:val="center"/>
          </w:tcPr>
          <w:p w:rsidR="009E3224" w:rsidRDefault="009E3224" w:rsidP="001541CE">
            <w:pPr>
              <w:rPr>
                <w:rFonts w:ascii="宋体" w:hAnsi="宋体"/>
                <w:szCs w:val="21"/>
              </w:rPr>
            </w:pPr>
            <w:r>
              <w:rPr>
                <w:rFonts w:ascii="宋体" w:hAnsi="宋体" w:hint="eastAsia"/>
                <w:szCs w:val="21"/>
              </w:rPr>
              <w:t>提交由第三</w:t>
            </w:r>
            <w:proofErr w:type="gramStart"/>
            <w:r>
              <w:rPr>
                <w:rFonts w:ascii="宋体" w:hAnsi="宋体" w:hint="eastAsia"/>
                <w:szCs w:val="21"/>
              </w:rPr>
              <w:t>方专业</w:t>
            </w:r>
            <w:proofErr w:type="gramEnd"/>
            <w:r>
              <w:rPr>
                <w:rFonts w:ascii="宋体" w:hAnsi="宋体" w:hint="eastAsia"/>
                <w:szCs w:val="21"/>
              </w:rPr>
              <w:t>机构根据食品处理区总面积和各关键场所面积、冷却和微波二次加热关键技术参数等条件出具的生产能力（</w:t>
            </w:r>
            <w:proofErr w:type="gramStart"/>
            <w:r>
              <w:rPr>
                <w:rFonts w:ascii="宋体" w:hAnsi="宋体" w:hint="eastAsia"/>
                <w:szCs w:val="21"/>
              </w:rPr>
              <w:t>单餐或</w:t>
            </w:r>
            <w:proofErr w:type="gramEnd"/>
            <w:r>
              <w:rPr>
                <w:rFonts w:ascii="宋体" w:hAnsi="宋体" w:hint="eastAsia"/>
                <w:szCs w:val="21"/>
              </w:rPr>
              <w:t>单班生产品种和数量）评估论证报告。</w:t>
            </w:r>
          </w:p>
        </w:tc>
        <w:tc>
          <w:tcPr>
            <w:tcW w:w="1073" w:type="dxa"/>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450"/>
          <w:jc w:val="center"/>
        </w:trPr>
        <w:tc>
          <w:tcPr>
            <w:tcW w:w="1859" w:type="dxa"/>
            <w:vMerge w:val="restart"/>
            <w:tcBorders>
              <w:left w:val="single" w:sz="4" w:space="0" w:color="auto"/>
              <w:right w:val="single" w:sz="4" w:space="0" w:color="auto"/>
            </w:tcBorders>
            <w:vAlign w:val="center"/>
          </w:tcPr>
          <w:p w:rsidR="009E3224" w:rsidRPr="00F15475" w:rsidRDefault="009E3224" w:rsidP="001541CE">
            <w:pPr>
              <w:jc w:val="center"/>
              <w:rPr>
                <w:rFonts w:ascii="宋体" w:hAnsi="宋体" w:hint="eastAsia"/>
                <w:color w:val="000000"/>
                <w:szCs w:val="21"/>
              </w:rPr>
            </w:pPr>
            <w:r>
              <w:rPr>
                <w:rFonts w:ascii="宋体" w:hAnsi="宋体" w:hint="eastAsia"/>
                <w:color w:val="000000"/>
                <w:szCs w:val="21"/>
              </w:rPr>
              <w:t>6.地面与排水</w:t>
            </w: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6.1</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地面用无毒、无异味、</w:t>
            </w:r>
            <w:proofErr w:type="gramStart"/>
            <w:r>
              <w:rPr>
                <w:rFonts w:ascii="宋体" w:hAnsi="宋体" w:hint="eastAsia"/>
                <w:szCs w:val="21"/>
              </w:rPr>
              <w:t>不</w:t>
            </w:r>
            <w:proofErr w:type="gramEnd"/>
            <w:r>
              <w:rPr>
                <w:rFonts w:ascii="宋体" w:hAnsi="宋体" w:hint="eastAsia"/>
                <w:szCs w:val="21"/>
              </w:rPr>
              <w:t>透水、不易积垢的材料铺设，且平整、无裂缝。</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372"/>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6.2</w:t>
            </w:r>
          </w:p>
        </w:tc>
        <w:tc>
          <w:tcPr>
            <w:tcW w:w="10208" w:type="dxa"/>
            <w:tcBorders>
              <w:top w:val="single" w:sz="4" w:space="0" w:color="auto"/>
              <w:left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粗加工、切配、餐用具清洗消毒和烹调等易积水场所应有一定的排水坡度（不小于1.5%），其最低处应设在排水沟或地漏的位置，使地面积水能迅速排干。排水沟的排水流向应由高清洁</w:t>
            </w:r>
            <w:proofErr w:type="gramStart"/>
            <w:r>
              <w:rPr>
                <w:rFonts w:ascii="宋体" w:hAnsi="宋体" w:hint="eastAsia"/>
                <w:szCs w:val="21"/>
              </w:rPr>
              <w:t>操作区流向</w:t>
            </w:r>
            <w:proofErr w:type="gramEnd"/>
            <w:r>
              <w:rPr>
                <w:rFonts w:ascii="宋体" w:hAnsi="宋体" w:hint="eastAsia"/>
                <w:szCs w:val="21"/>
              </w:rPr>
              <w:t>低清洁操作区。</w:t>
            </w:r>
          </w:p>
        </w:tc>
        <w:tc>
          <w:tcPr>
            <w:tcW w:w="1073" w:type="dxa"/>
            <w:tcBorders>
              <w:top w:val="single" w:sz="4" w:space="0" w:color="auto"/>
              <w:left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413"/>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6.3</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排水沟出口有网眼孔径小于</w:t>
            </w:r>
            <w:smartTag w:uri="urn:schemas-microsoft-com:office:smarttags" w:element="chmetcnv">
              <w:smartTagPr>
                <w:attr w:name="TCSC" w:val="0"/>
                <w:attr w:name="NumberType" w:val="1"/>
                <w:attr w:name="Negative" w:val="False"/>
                <w:attr w:name="HasSpace" w:val="False"/>
                <w:attr w:name="SourceValue" w:val="6"/>
                <w:attr w:name="UnitName" w:val="mm"/>
              </w:smartTagPr>
              <w:r>
                <w:rPr>
                  <w:rFonts w:ascii="宋体" w:hAnsi="宋体" w:hint="eastAsia"/>
                  <w:szCs w:val="21"/>
                </w:rPr>
                <w:t>6mm</w:t>
              </w:r>
            </w:smartTag>
            <w:r>
              <w:rPr>
                <w:rFonts w:ascii="宋体" w:hAnsi="宋体" w:hint="eastAsia"/>
                <w:szCs w:val="21"/>
              </w:rPr>
              <w:t>的金属隔栅或网罩。</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383"/>
          <w:jc w:val="center"/>
        </w:trPr>
        <w:tc>
          <w:tcPr>
            <w:tcW w:w="1859" w:type="dxa"/>
            <w:vMerge w:val="restart"/>
            <w:tcBorders>
              <w:top w:val="single" w:sz="4" w:space="0" w:color="auto"/>
              <w:left w:val="single" w:sz="4" w:space="0" w:color="auto"/>
              <w:right w:val="single" w:sz="4" w:space="0" w:color="auto"/>
            </w:tcBorders>
            <w:vAlign w:val="center"/>
          </w:tcPr>
          <w:p w:rsidR="009E3224" w:rsidRPr="00F86C2A" w:rsidRDefault="009E3224" w:rsidP="001541CE">
            <w:pPr>
              <w:jc w:val="center"/>
              <w:rPr>
                <w:rFonts w:ascii="宋体" w:hAnsi="宋体" w:hint="eastAsia"/>
                <w:color w:val="000000"/>
                <w:szCs w:val="21"/>
              </w:rPr>
            </w:pPr>
            <w:r>
              <w:rPr>
                <w:rFonts w:ascii="宋体" w:hAnsi="宋体" w:hint="eastAsia"/>
                <w:color w:val="000000"/>
                <w:szCs w:val="21"/>
              </w:rPr>
              <w:t>7.墙壁与门窗</w:t>
            </w:r>
          </w:p>
        </w:tc>
        <w:tc>
          <w:tcPr>
            <w:tcW w:w="851" w:type="dxa"/>
            <w:tcBorders>
              <w:top w:val="single" w:sz="4" w:space="0" w:color="auto"/>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7.1</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生产加工场所墙壁应用无毒、无异味、光滑、</w:t>
            </w:r>
            <w:proofErr w:type="gramStart"/>
            <w:r>
              <w:rPr>
                <w:rFonts w:ascii="宋体" w:hAnsi="宋体" w:hint="eastAsia"/>
                <w:szCs w:val="21"/>
              </w:rPr>
              <w:t>不</w:t>
            </w:r>
            <w:proofErr w:type="gramEnd"/>
            <w:r>
              <w:rPr>
                <w:rFonts w:ascii="宋体" w:hAnsi="宋体" w:hint="eastAsia"/>
                <w:szCs w:val="21"/>
              </w:rPr>
              <w:t>吸水、浅色、耐用和易清洗的材料铺设到顶。</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389"/>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7.2</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门、窗装配严密，与外界直接相通的门和</w:t>
            </w:r>
            <w:proofErr w:type="gramStart"/>
            <w:r>
              <w:rPr>
                <w:rFonts w:ascii="宋体" w:hAnsi="宋体" w:hint="eastAsia"/>
                <w:szCs w:val="21"/>
              </w:rPr>
              <w:t>可</w:t>
            </w:r>
            <w:proofErr w:type="gramEnd"/>
            <w:r>
              <w:rPr>
                <w:rFonts w:ascii="宋体" w:hAnsi="宋体" w:hint="eastAsia"/>
                <w:szCs w:val="21"/>
              </w:rPr>
              <w:t>开启的窗设有易于拆下清洗不生锈的纱网或空气幕，与外界直接相通的门和各类专间的门能自动关闭，室内窗台下斜</w:t>
            </w:r>
            <w:r>
              <w:rPr>
                <w:rFonts w:cs="Courier New" w:hint="eastAsia"/>
                <w:szCs w:val="21"/>
              </w:rPr>
              <w:t>45</w:t>
            </w:r>
            <w:r>
              <w:rPr>
                <w:rFonts w:ascii="宋体" w:hAnsi="宋体" w:hint="eastAsia"/>
                <w:szCs w:val="21"/>
              </w:rPr>
              <w:t>度或采用无窗台结构。</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423"/>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7.3</w:t>
            </w:r>
          </w:p>
        </w:tc>
        <w:tc>
          <w:tcPr>
            <w:tcW w:w="10208" w:type="dxa"/>
            <w:tcBorders>
              <w:top w:val="single" w:sz="4" w:space="0" w:color="auto"/>
              <w:left w:val="single" w:sz="4" w:space="0" w:color="auto"/>
              <w:right w:val="single" w:sz="4" w:space="0" w:color="auto"/>
            </w:tcBorders>
            <w:vAlign w:val="center"/>
          </w:tcPr>
          <w:p w:rsidR="009E3224" w:rsidRDefault="009E3224" w:rsidP="001541CE">
            <w:pPr>
              <w:rPr>
                <w:rFonts w:ascii="宋体" w:hAnsi="宋体"/>
                <w:szCs w:val="21"/>
              </w:rPr>
            </w:pPr>
            <w:r w:rsidRPr="003E328E">
              <w:rPr>
                <w:rFonts w:ascii="宋体" w:hAnsi="宋体" w:hint="eastAsia"/>
                <w:szCs w:val="21"/>
              </w:rPr>
              <w:t>粗加工、切配、餐用具清洗消毒、烹调等场所和各类专间的门采用易清洗、</w:t>
            </w:r>
            <w:proofErr w:type="gramStart"/>
            <w:r w:rsidRPr="003E328E">
              <w:rPr>
                <w:rFonts w:ascii="宋体" w:hAnsi="宋体" w:hint="eastAsia"/>
                <w:szCs w:val="21"/>
              </w:rPr>
              <w:t>不</w:t>
            </w:r>
            <w:proofErr w:type="gramEnd"/>
            <w:r w:rsidRPr="003E328E">
              <w:rPr>
                <w:rFonts w:ascii="宋体" w:hAnsi="宋体" w:hint="eastAsia"/>
                <w:szCs w:val="21"/>
              </w:rPr>
              <w:t>吸水的坚固材料制作。</w:t>
            </w:r>
          </w:p>
        </w:tc>
        <w:tc>
          <w:tcPr>
            <w:tcW w:w="1073" w:type="dxa"/>
            <w:tcBorders>
              <w:top w:val="single" w:sz="4" w:space="0" w:color="auto"/>
              <w:left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449"/>
          <w:jc w:val="center"/>
        </w:trPr>
        <w:tc>
          <w:tcPr>
            <w:tcW w:w="1859" w:type="dxa"/>
            <w:vMerge w:val="restart"/>
            <w:tcBorders>
              <w:top w:val="single" w:sz="4" w:space="0" w:color="auto"/>
              <w:left w:val="single" w:sz="4" w:space="0" w:color="auto"/>
              <w:right w:val="single" w:sz="4" w:space="0" w:color="auto"/>
            </w:tcBorders>
            <w:vAlign w:val="center"/>
          </w:tcPr>
          <w:p w:rsidR="009E3224" w:rsidRPr="00F86C2A" w:rsidRDefault="009E3224" w:rsidP="001541CE">
            <w:pPr>
              <w:jc w:val="center"/>
              <w:rPr>
                <w:rFonts w:ascii="宋体" w:hAnsi="宋体" w:hint="eastAsia"/>
                <w:color w:val="000000"/>
                <w:szCs w:val="21"/>
              </w:rPr>
            </w:pPr>
            <w:r>
              <w:rPr>
                <w:rFonts w:ascii="宋体" w:hAnsi="宋体" w:hint="eastAsia"/>
                <w:color w:val="000000"/>
                <w:szCs w:val="21"/>
              </w:rPr>
              <w:t>8.天花板</w:t>
            </w:r>
          </w:p>
        </w:tc>
        <w:tc>
          <w:tcPr>
            <w:tcW w:w="851" w:type="dxa"/>
            <w:tcBorders>
              <w:top w:val="single" w:sz="4" w:space="0" w:color="auto"/>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8.1</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hint="eastAsia"/>
                <w:szCs w:val="21"/>
              </w:rPr>
            </w:pPr>
            <w:r>
              <w:rPr>
                <w:rFonts w:ascii="宋体" w:hAnsi="宋体" w:hint="eastAsia"/>
                <w:szCs w:val="21"/>
              </w:rPr>
              <w:t>天花板用无毒、无异味、</w:t>
            </w:r>
            <w:proofErr w:type="gramStart"/>
            <w:r>
              <w:rPr>
                <w:rFonts w:ascii="宋体" w:hAnsi="宋体" w:hint="eastAsia"/>
                <w:szCs w:val="21"/>
              </w:rPr>
              <w:t>不</w:t>
            </w:r>
            <w:proofErr w:type="gramEnd"/>
            <w:r>
              <w:rPr>
                <w:rFonts w:ascii="宋体" w:hAnsi="宋体" w:hint="eastAsia"/>
                <w:szCs w:val="21"/>
              </w:rPr>
              <w:t>吸水、表面光洁、耐腐蚀、耐温、浅色材料涂覆或装修。</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639"/>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8.2</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清洁操作区、准清洁</w:t>
            </w:r>
            <w:proofErr w:type="gramStart"/>
            <w:r>
              <w:rPr>
                <w:rFonts w:ascii="宋体" w:hAnsi="宋体" w:hint="eastAsia"/>
                <w:szCs w:val="21"/>
              </w:rPr>
              <w:t>操作区</w:t>
            </w:r>
            <w:proofErr w:type="gramEnd"/>
            <w:r>
              <w:rPr>
                <w:rFonts w:ascii="宋体" w:hAnsi="宋体" w:hint="eastAsia"/>
                <w:szCs w:val="21"/>
              </w:rPr>
              <w:t>及其它半成品、成品暴露场所屋顶若为不平整的结构或有管道通过，加设平整易于清洁的吊顶（吊顶间缝隙应严密封闭）。</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405"/>
          <w:jc w:val="center"/>
        </w:trPr>
        <w:tc>
          <w:tcPr>
            <w:tcW w:w="1859" w:type="dxa"/>
            <w:vMerge/>
            <w:tcBorders>
              <w:left w:val="single" w:sz="4" w:space="0" w:color="auto"/>
              <w:bottom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bottom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8.3</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水蒸气较多的场所的天花板有适当的坡度，在结构上减少凝结水滴落。</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471"/>
          <w:jc w:val="center"/>
        </w:trPr>
        <w:tc>
          <w:tcPr>
            <w:tcW w:w="1859" w:type="dxa"/>
            <w:vMerge w:val="restart"/>
            <w:tcBorders>
              <w:top w:val="single" w:sz="4" w:space="0" w:color="auto"/>
              <w:left w:val="single" w:sz="4" w:space="0" w:color="auto"/>
              <w:right w:val="single" w:sz="4" w:space="0" w:color="auto"/>
            </w:tcBorders>
            <w:vAlign w:val="center"/>
          </w:tcPr>
          <w:p w:rsidR="009E3224" w:rsidRDefault="009E3224" w:rsidP="001541CE">
            <w:pPr>
              <w:jc w:val="center"/>
              <w:rPr>
                <w:rFonts w:ascii="宋体" w:hAnsi="宋体" w:hint="eastAsia"/>
                <w:color w:val="000000"/>
                <w:szCs w:val="21"/>
                <w:highlight w:val="red"/>
              </w:rPr>
            </w:pPr>
            <w:r>
              <w:rPr>
                <w:rFonts w:ascii="宋体" w:hAnsi="宋体" w:hint="eastAsia"/>
                <w:color w:val="000000"/>
                <w:szCs w:val="21"/>
              </w:rPr>
              <w:lastRenderedPageBreak/>
              <w:t>9.厕所</w:t>
            </w:r>
          </w:p>
        </w:tc>
        <w:tc>
          <w:tcPr>
            <w:tcW w:w="851" w:type="dxa"/>
            <w:tcBorders>
              <w:top w:val="single" w:sz="4" w:space="0" w:color="auto"/>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9.1</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各作业区内不应设置厕所。</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834"/>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9.2</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rPr>
              <w:t>厕所采用水冲式，地面、墙壁、便槽等采用</w:t>
            </w:r>
            <w:proofErr w:type="gramStart"/>
            <w:r>
              <w:rPr>
                <w:rFonts w:ascii="宋体" w:hAnsi="宋体" w:hint="eastAsia"/>
              </w:rPr>
              <w:t>不</w:t>
            </w:r>
            <w:proofErr w:type="gramEnd"/>
            <w:r>
              <w:rPr>
                <w:rFonts w:ascii="宋体" w:hAnsi="宋体" w:hint="eastAsia"/>
              </w:rPr>
              <w:t>透水、易清洗、不易积垢的材料，</w:t>
            </w:r>
            <w:proofErr w:type="gramStart"/>
            <w:r>
              <w:rPr>
                <w:rFonts w:ascii="宋体" w:hAnsi="宋体" w:hint="eastAsia"/>
              </w:rPr>
              <w:t>设有效</w:t>
            </w:r>
            <w:proofErr w:type="gramEnd"/>
            <w:r>
              <w:rPr>
                <w:rFonts w:ascii="宋体" w:hAnsi="宋体" w:hint="eastAsia"/>
              </w:rPr>
              <w:t>排气装置，有适当照明，与外界相通的窗户设置纱窗，或为封闭式，外门能自动关闭，在出口附近设置洗手设施。</w:t>
            </w:r>
            <w:r>
              <w:rPr>
                <w:rFonts w:ascii="宋体" w:hAnsi="宋体" w:hint="eastAsia"/>
                <w:szCs w:val="21"/>
              </w:rPr>
              <w:t>厕所排污管道与食品加工经营场所的排水管道分设，并有可靠的防臭气水封。</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360"/>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9.3</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厕所内的洗手设施符合本表第13项的规定。</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670"/>
          <w:jc w:val="center"/>
        </w:trPr>
        <w:tc>
          <w:tcPr>
            <w:tcW w:w="1859"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jc w:val="center"/>
              <w:rPr>
                <w:rFonts w:ascii="宋体" w:hAnsi="宋体" w:hint="eastAsia"/>
                <w:color w:val="000000"/>
                <w:szCs w:val="21"/>
                <w:highlight w:val="red"/>
              </w:rPr>
            </w:pPr>
            <w:r>
              <w:rPr>
                <w:rFonts w:ascii="宋体" w:hAnsi="宋体" w:hint="eastAsia"/>
                <w:color w:val="000000"/>
                <w:szCs w:val="21"/>
              </w:rPr>
              <w:t>10.更衣室</w:t>
            </w:r>
          </w:p>
        </w:tc>
        <w:tc>
          <w:tcPr>
            <w:tcW w:w="851"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10.1</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更衣场所与食品加工场所处于同一建筑物内，有适当的照明，并设有符合本表第13项的规定的洗手设施，有足够供员工更衣的空间。</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640"/>
          <w:jc w:val="center"/>
        </w:trPr>
        <w:tc>
          <w:tcPr>
            <w:tcW w:w="1859" w:type="dxa"/>
            <w:vMerge w:val="restart"/>
            <w:tcBorders>
              <w:top w:val="single" w:sz="4" w:space="0" w:color="auto"/>
              <w:left w:val="single" w:sz="4" w:space="0" w:color="auto"/>
              <w:right w:val="single" w:sz="4" w:space="0" w:color="auto"/>
            </w:tcBorders>
            <w:vAlign w:val="center"/>
          </w:tcPr>
          <w:p w:rsidR="009E3224" w:rsidRDefault="009E3224" w:rsidP="001541CE">
            <w:pPr>
              <w:jc w:val="center"/>
              <w:rPr>
                <w:rFonts w:ascii="宋体" w:hAnsi="宋体" w:hint="eastAsia"/>
                <w:color w:val="000000"/>
                <w:szCs w:val="21"/>
              </w:rPr>
            </w:pPr>
            <w:r>
              <w:rPr>
                <w:rFonts w:ascii="宋体" w:hAnsi="宋体" w:hint="eastAsia"/>
                <w:color w:val="000000"/>
                <w:szCs w:val="21"/>
              </w:rPr>
              <w:t>11.库房</w:t>
            </w:r>
          </w:p>
        </w:tc>
        <w:tc>
          <w:tcPr>
            <w:tcW w:w="851" w:type="dxa"/>
            <w:tcBorders>
              <w:top w:val="single" w:sz="4" w:space="0" w:color="auto"/>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11.1</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食品和非食品（不会导致食品污染的食品容器、包装材料、工用具等物品除外）库房分开设置，并按食品种类分别设立冷藏库、冷冻库和常温库房，各类库房的容量应当满足生产加工数量的需要。</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408"/>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11.2</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rPr>
              <w:t>冷藏、冷冻柜（库）数量和结构能使原料、半成品和成品分开存放，有明显区分标识。</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423"/>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11.3</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库房内应设置数量足够的物品存放货架，能使贮存的食品隔墙离地存放。配备可对不同物品、每次进货和使用情况及存量等进行标示的标识。</w:t>
            </w:r>
            <w:r>
              <w:rPr>
                <w:rFonts w:ascii="宋体" w:hAnsi="宋体" w:hint="eastAsia"/>
              </w:rPr>
              <w:t>除冷库外的库房有良好的通风、防潮、防鼠（如设防鼠板或木质门下方以金属包覆）设施。</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357"/>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11.4</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冷（冻）藏</w:t>
            </w:r>
            <w:proofErr w:type="gramStart"/>
            <w:r>
              <w:rPr>
                <w:rFonts w:ascii="宋体" w:hAnsi="宋体" w:hint="eastAsia"/>
                <w:szCs w:val="21"/>
              </w:rPr>
              <w:t>库设可</w:t>
            </w:r>
            <w:proofErr w:type="gramEnd"/>
            <w:r>
              <w:rPr>
                <w:rFonts w:ascii="宋体" w:hAnsi="宋体" w:hint="eastAsia"/>
                <w:szCs w:val="21"/>
              </w:rPr>
              <w:t>正确指示库内温度的温度指示装置。</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143"/>
          <w:jc w:val="center"/>
        </w:trPr>
        <w:tc>
          <w:tcPr>
            <w:tcW w:w="1859" w:type="dxa"/>
            <w:vMerge w:val="restart"/>
            <w:tcBorders>
              <w:top w:val="single" w:sz="4" w:space="0" w:color="auto"/>
              <w:left w:val="single" w:sz="4" w:space="0" w:color="auto"/>
              <w:right w:val="single" w:sz="4" w:space="0" w:color="auto"/>
            </w:tcBorders>
            <w:vAlign w:val="center"/>
          </w:tcPr>
          <w:p w:rsidR="009E3224" w:rsidRDefault="009E3224" w:rsidP="001541CE">
            <w:pPr>
              <w:jc w:val="center"/>
              <w:rPr>
                <w:rFonts w:ascii="宋体" w:hAnsi="宋体" w:hint="eastAsia"/>
                <w:color w:val="000000"/>
                <w:szCs w:val="21"/>
              </w:rPr>
            </w:pPr>
            <w:r>
              <w:rPr>
                <w:rFonts w:ascii="宋体" w:hAnsi="宋体" w:hint="eastAsia"/>
                <w:color w:val="000000"/>
                <w:szCs w:val="21"/>
              </w:rPr>
              <w:t>12.分装专间</w:t>
            </w:r>
          </w:p>
        </w:tc>
        <w:tc>
          <w:tcPr>
            <w:tcW w:w="851" w:type="dxa"/>
            <w:tcBorders>
              <w:top w:val="single" w:sz="4" w:space="0" w:color="auto"/>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12.1</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rPr>
              <w:t>专间内无明沟，地漏带水封。食品传递窗为开闭式，其他窗封闭。专间墙裙铺设到顶。</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328"/>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12.2</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tabs>
                <w:tab w:val="left" w:pos="6945"/>
              </w:tabs>
              <w:rPr>
                <w:rFonts w:ascii="宋体" w:hAnsi="宋体"/>
                <w:szCs w:val="21"/>
              </w:rPr>
            </w:pPr>
            <w:r>
              <w:rPr>
                <w:rFonts w:ascii="宋体" w:hAnsi="宋体" w:hint="eastAsia"/>
              </w:rPr>
              <w:t>专间只设一扇门，采用易清洗、</w:t>
            </w:r>
            <w:proofErr w:type="gramStart"/>
            <w:r>
              <w:rPr>
                <w:rFonts w:ascii="宋体" w:hAnsi="宋体" w:hint="eastAsia"/>
              </w:rPr>
              <w:t>不</w:t>
            </w:r>
            <w:proofErr w:type="gramEnd"/>
            <w:r>
              <w:rPr>
                <w:rFonts w:ascii="宋体" w:hAnsi="宋体" w:hint="eastAsia"/>
              </w:rPr>
              <w:t>吸水的坚固材</w:t>
            </w:r>
            <w:r w:rsidRPr="003A0067">
              <w:rPr>
                <w:rFonts w:ascii="宋体" w:hAnsi="宋体" w:hint="eastAsia"/>
              </w:rPr>
              <w:t>质，能够自动关闭。</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304"/>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12.3</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rPr>
              <w:t>专间内设</w:t>
            </w:r>
            <w:r>
              <w:rPr>
                <w:rFonts w:ascii="宋体" w:hAnsi="宋体" w:hint="eastAsia"/>
                <w:kern w:val="0"/>
                <w:szCs w:val="21"/>
              </w:rPr>
              <w:t>有独立温度控制的空调设施、</w:t>
            </w:r>
            <w:r>
              <w:rPr>
                <w:rFonts w:ascii="宋体" w:hAnsi="宋体" w:hint="eastAsia"/>
              </w:rPr>
              <w:t>温度显示装置、</w:t>
            </w:r>
            <w:r>
              <w:rPr>
                <w:rFonts w:ascii="宋体" w:hAnsi="宋体" w:hint="eastAsia"/>
                <w:kern w:val="0"/>
                <w:szCs w:val="21"/>
              </w:rPr>
              <w:t>空气消毒设施（如紫外线灯）、流动水源、工具清洗消毒水池。需要直接接触成品的用水，应加装净水设施。以紫外线灯作为空气消毒装置的，紫外线灯（波长200-275nm）应按功率≥1.5W/m</w:t>
            </w:r>
            <w:r>
              <w:rPr>
                <w:rFonts w:ascii="宋体" w:hAnsi="宋体" w:hint="eastAsia"/>
                <w:kern w:val="0"/>
                <w:szCs w:val="21"/>
                <w:vertAlign w:val="superscript"/>
              </w:rPr>
              <w:t>3</w:t>
            </w:r>
            <w:r>
              <w:rPr>
                <w:rFonts w:ascii="宋体" w:hAnsi="宋体" w:hint="eastAsia"/>
                <w:kern w:val="0"/>
                <w:szCs w:val="21"/>
              </w:rPr>
              <w:t>设置，专间内紫外线灯分布均匀，距离地面</w:t>
            </w:r>
            <w:smartTag w:uri="urn:schemas-microsoft-com:office:smarttags" w:element="chmetcnv">
              <w:smartTagPr>
                <w:attr w:name="TCSC" w:val="0"/>
                <w:attr w:name="NumberType" w:val="1"/>
                <w:attr w:name="Negative" w:val="False"/>
                <w:attr w:name="HasSpace" w:val="False"/>
                <w:attr w:name="SourceValue" w:val="2"/>
                <w:attr w:name="UnitName" w:val="m"/>
              </w:smartTagPr>
              <w:r>
                <w:rPr>
                  <w:rFonts w:ascii="宋体" w:hAnsi="宋体" w:hint="eastAsia"/>
                  <w:kern w:val="0"/>
                  <w:szCs w:val="21"/>
                </w:rPr>
                <w:t>2m</w:t>
              </w:r>
            </w:smartTag>
            <w:r>
              <w:rPr>
                <w:rFonts w:ascii="宋体" w:hAnsi="宋体" w:hint="eastAsia"/>
                <w:kern w:val="0"/>
                <w:szCs w:val="21"/>
              </w:rPr>
              <w:t>以内。</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rPr>
              <w:t>***</w:t>
            </w:r>
          </w:p>
        </w:tc>
      </w:tr>
      <w:tr w:rsidR="009E3224" w:rsidTr="001541CE">
        <w:trPr>
          <w:cantSplit/>
          <w:trHeight w:val="304"/>
          <w:jc w:val="center"/>
        </w:trPr>
        <w:tc>
          <w:tcPr>
            <w:tcW w:w="1859" w:type="dxa"/>
            <w:vMerge/>
            <w:tcBorders>
              <w:left w:val="single" w:sz="4" w:space="0" w:color="auto"/>
              <w:bottom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bottom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12.4</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rPr>
              <w:t>专间入口处设置有洗手、消毒、更衣设施的通过</w:t>
            </w:r>
            <w:proofErr w:type="gramStart"/>
            <w:r>
              <w:rPr>
                <w:rFonts w:ascii="宋体" w:hAnsi="宋体" w:hint="eastAsia"/>
              </w:rPr>
              <w:t>式预进</w:t>
            </w:r>
            <w:proofErr w:type="gramEnd"/>
            <w:r>
              <w:rPr>
                <w:rFonts w:ascii="宋体" w:hAnsi="宋体" w:hint="eastAsia"/>
              </w:rPr>
              <w:t>间，洗手消毒设施符合本表第13项的规定。</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rPr>
              <w:t>***</w:t>
            </w:r>
          </w:p>
        </w:tc>
      </w:tr>
      <w:tr w:rsidR="009E3224" w:rsidTr="001541CE">
        <w:trPr>
          <w:cantSplit/>
          <w:trHeight w:val="289"/>
          <w:jc w:val="center"/>
        </w:trPr>
        <w:tc>
          <w:tcPr>
            <w:tcW w:w="1859" w:type="dxa"/>
            <w:vMerge w:val="restart"/>
            <w:tcBorders>
              <w:top w:val="single" w:sz="4" w:space="0" w:color="auto"/>
              <w:left w:val="single" w:sz="4" w:space="0" w:color="auto"/>
              <w:right w:val="single" w:sz="4" w:space="0" w:color="auto"/>
            </w:tcBorders>
            <w:vAlign w:val="center"/>
          </w:tcPr>
          <w:p w:rsidR="009E3224" w:rsidRDefault="009E3224" w:rsidP="001541CE">
            <w:pPr>
              <w:jc w:val="center"/>
              <w:rPr>
                <w:rFonts w:ascii="宋体" w:hAnsi="宋体" w:hint="eastAsia"/>
                <w:color w:val="000000"/>
                <w:sz w:val="18"/>
                <w:szCs w:val="18"/>
                <w:highlight w:val="yellow"/>
              </w:rPr>
            </w:pPr>
            <w:r>
              <w:rPr>
                <w:rFonts w:ascii="宋体" w:hAnsi="宋体" w:hint="eastAsia"/>
                <w:color w:val="000000"/>
                <w:szCs w:val="21"/>
              </w:rPr>
              <w:t>13.洗手消毒设施</w:t>
            </w:r>
          </w:p>
        </w:tc>
        <w:tc>
          <w:tcPr>
            <w:tcW w:w="851" w:type="dxa"/>
            <w:tcBorders>
              <w:top w:val="single" w:sz="4" w:space="0" w:color="auto"/>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13.1</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设置洗手设施，其位置在方便从业人员的区域。</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276"/>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13.2</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洗手消毒设施附近设有相应的清洗、消毒用品和干手设施。</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425"/>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13.3</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洗手</w:t>
            </w:r>
            <w:proofErr w:type="gramStart"/>
            <w:r>
              <w:rPr>
                <w:rFonts w:ascii="宋体" w:hAnsi="宋体" w:hint="eastAsia"/>
                <w:szCs w:val="21"/>
              </w:rPr>
              <w:t>池使用</w:t>
            </w:r>
            <w:proofErr w:type="gramEnd"/>
            <w:r>
              <w:rPr>
                <w:rFonts w:ascii="宋体" w:hAnsi="宋体" w:hint="eastAsia"/>
                <w:szCs w:val="21"/>
              </w:rPr>
              <w:t>不锈钢或陶瓷等</w:t>
            </w:r>
            <w:proofErr w:type="gramStart"/>
            <w:r>
              <w:rPr>
                <w:rFonts w:ascii="宋体" w:hAnsi="宋体" w:hint="eastAsia"/>
                <w:szCs w:val="21"/>
              </w:rPr>
              <w:t>不</w:t>
            </w:r>
            <w:proofErr w:type="gramEnd"/>
            <w:r>
              <w:rPr>
                <w:rFonts w:ascii="宋体" w:hAnsi="宋体" w:hint="eastAsia"/>
                <w:szCs w:val="21"/>
              </w:rPr>
              <w:t>透水材料，结构不易积垢并易于清洗。</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408"/>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13.4</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洗手消毒设施附近有洗手消毒方法标示。</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670"/>
          <w:jc w:val="center"/>
        </w:trPr>
        <w:tc>
          <w:tcPr>
            <w:tcW w:w="1859" w:type="dxa"/>
            <w:vMerge w:val="restart"/>
            <w:tcBorders>
              <w:top w:val="single" w:sz="4" w:space="0" w:color="auto"/>
              <w:left w:val="single" w:sz="4" w:space="0" w:color="auto"/>
              <w:right w:val="single" w:sz="4" w:space="0" w:color="auto"/>
            </w:tcBorders>
            <w:vAlign w:val="center"/>
          </w:tcPr>
          <w:p w:rsidR="009E3224" w:rsidRDefault="009E3224" w:rsidP="001541CE">
            <w:pPr>
              <w:jc w:val="center"/>
              <w:rPr>
                <w:rFonts w:ascii="宋体" w:hAnsi="宋体" w:hint="eastAsia"/>
                <w:color w:val="000000"/>
                <w:szCs w:val="21"/>
              </w:rPr>
            </w:pPr>
            <w:r>
              <w:rPr>
                <w:rFonts w:ascii="宋体" w:hAnsi="宋体" w:hint="eastAsia"/>
                <w:color w:val="000000"/>
                <w:szCs w:val="21"/>
              </w:rPr>
              <w:t>14.通风排烟温控设施</w:t>
            </w:r>
          </w:p>
        </w:tc>
        <w:tc>
          <w:tcPr>
            <w:tcW w:w="851" w:type="dxa"/>
            <w:tcBorders>
              <w:top w:val="single" w:sz="4" w:space="0" w:color="auto"/>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14.1</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热加工场所采用机械排风。产生油烟或大量蒸汽的设备上部，加设附有机械排风及油烟过滤的排气装置，过滤器便于清洗和更换。</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447"/>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bottom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14.2</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排气口装有网眼孔径小于</w:t>
            </w:r>
            <w:smartTag w:uri="urn:schemas-microsoft-com:office:smarttags" w:element="chmetcnv">
              <w:smartTagPr>
                <w:attr w:name="TCSC" w:val="0"/>
                <w:attr w:name="NumberType" w:val="1"/>
                <w:attr w:name="Negative" w:val="False"/>
                <w:attr w:name="HasSpace" w:val="False"/>
                <w:attr w:name="SourceValue" w:val="6"/>
                <w:attr w:name="UnitName" w:val="mm"/>
              </w:smartTagPr>
              <w:r>
                <w:rPr>
                  <w:rFonts w:ascii="宋体" w:hAnsi="宋体" w:hint="eastAsia"/>
                  <w:szCs w:val="21"/>
                </w:rPr>
                <w:t>6mm</w:t>
              </w:r>
            </w:smartTag>
            <w:r>
              <w:rPr>
                <w:rFonts w:ascii="宋体" w:hAnsi="宋体" w:hint="eastAsia"/>
                <w:szCs w:val="21"/>
              </w:rPr>
              <w:t>的金属隔栅或网罩，纱网或网罩便于装卸和清洗。</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447"/>
          <w:jc w:val="center"/>
        </w:trPr>
        <w:tc>
          <w:tcPr>
            <w:tcW w:w="1859" w:type="dxa"/>
            <w:vMerge/>
            <w:tcBorders>
              <w:left w:val="single" w:sz="4" w:space="0" w:color="auto"/>
              <w:bottom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bottom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14.3</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加工畜禽肉、水产品等易腐食品原料的场所配备空调等温度控制装置。</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r>
              <w:rPr>
                <w:rFonts w:ascii="宋体" w:hAnsi="宋体" w:hint="eastAsia"/>
                <w:kern w:val="0"/>
                <w:szCs w:val="21"/>
              </w:rPr>
              <w:t>*</w:t>
            </w:r>
          </w:p>
        </w:tc>
      </w:tr>
      <w:tr w:rsidR="009E3224" w:rsidTr="001541CE">
        <w:trPr>
          <w:cantSplit/>
          <w:trHeight w:val="457"/>
          <w:jc w:val="center"/>
        </w:trPr>
        <w:tc>
          <w:tcPr>
            <w:tcW w:w="1859" w:type="dxa"/>
            <w:vMerge w:val="restart"/>
            <w:tcBorders>
              <w:top w:val="single" w:sz="4" w:space="0" w:color="auto"/>
              <w:left w:val="single" w:sz="4" w:space="0" w:color="auto"/>
              <w:right w:val="single" w:sz="4" w:space="0" w:color="auto"/>
            </w:tcBorders>
            <w:vAlign w:val="center"/>
          </w:tcPr>
          <w:p w:rsidR="009E3224" w:rsidRDefault="009E3224" w:rsidP="001541CE">
            <w:pPr>
              <w:jc w:val="center"/>
              <w:rPr>
                <w:rFonts w:ascii="宋体" w:hAnsi="宋体" w:hint="eastAsia"/>
                <w:color w:val="000000"/>
                <w:szCs w:val="21"/>
              </w:rPr>
            </w:pPr>
            <w:r>
              <w:rPr>
                <w:rFonts w:ascii="宋体" w:hAnsi="宋体" w:hint="eastAsia"/>
                <w:color w:val="000000"/>
                <w:szCs w:val="21"/>
              </w:rPr>
              <w:t>15.餐用具清洗消毒保洁设施</w:t>
            </w:r>
          </w:p>
        </w:tc>
        <w:tc>
          <w:tcPr>
            <w:tcW w:w="851" w:type="dxa"/>
            <w:tcBorders>
              <w:top w:val="single" w:sz="4" w:space="0" w:color="auto"/>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15.1</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根据餐用具的品种和数量,</w:t>
            </w:r>
            <w:r>
              <w:rPr>
                <w:rFonts w:ascii="宋体" w:hAnsi="宋体" w:hint="eastAsia"/>
              </w:rPr>
              <w:t>配备能正常运转的清洗、消毒、保洁设备设施。</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667"/>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15.2</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rPr>
              <w:t>消毒方式首选采用热力消毒方法，因材质、大小等原因无法采用热力消毒的可采用化学消毒方式。采用化学消毒的，至少设有3个专用水池。采用人工清洗热力消毒的，可设置2个专用水池，各类水池以明显标识标明其用途。</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rPr>
              <w:t>***</w:t>
            </w:r>
          </w:p>
        </w:tc>
      </w:tr>
      <w:tr w:rsidR="009E3224" w:rsidTr="001541CE">
        <w:trPr>
          <w:cantSplit/>
          <w:trHeight w:val="381"/>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15.3</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color w:val="FF0000"/>
                <w:szCs w:val="21"/>
              </w:rPr>
            </w:pPr>
            <w:r>
              <w:rPr>
                <w:rFonts w:ascii="宋体" w:hAnsi="宋体" w:hint="eastAsia"/>
                <w:szCs w:val="21"/>
              </w:rPr>
              <w:t>接触即食食品的工</w:t>
            </w:r>
            <w:r>
              <w:rPr>
                <w:rFonts w:ascii="宋体" w:hAnsi="宋体"/>
                <w:szCs w:val="21"/>
              </w:rPr>
              <w:t>用具</w:t>
            </w:r>
            <w:r>
              <w:rPr>
                <w:rFonts w:ascii="宋体" w:hAnsi="宋体" w:hint="eastAsia"/>
                <w:szCs w:val="21"/>
              </w:rPr>
              <w:t>、容器的</w:t>
            </w:r>
            <w:r>
              <w:rPr>
                <w:rFonts w:ascii="宋体" w:hAnsi="宋体" w:hint="eastAsia"/>
              </w:rPr>
              <w:t>清洗消毒水池专用，与食品原料、清洁用具及</w:t>
            </w:r>
            <w:proofErr w:type="gramStart"/>
            <w:r>
              <w:rPr>
                <w:rFonts w:ascii="宋体" w:hAnsi="宋体" w:hint="eastAsia"/>
              </w:rPr>
              <w:t>接触非</w:t>
            </w:r>
            <w:proofErr w:type="gramEnd"/>
            <w:r>
              <w:rPr>
                <w:rFonts w:ascii="宋体" w:hAnsi="宋体" w:hint="eastAsia"/>
              </w:rPr>
              <w:t>直接入口食品的工具、容器清洗水池分开。</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r>
              <w:rPr>
                <w:rFonts w:ascii="宋体" w:hAnsi="宋体" w:hint="eastAsia"/>
              </w:rPr>
              <w:t>**</w:t>
            </w:r>
          </w:p>
        </w:tc>
      </w:tr>
      <w:tr w:rsidR="009E3224" w:rsidTr="001541CE">
        <w:trPr>
          <w:cantSplit/>
          <w:trHeight w:val="366"/>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15.4</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rPr>
              <w:t>餐用具清洗消毒水池使用不锈钢或陶瓷等</w:t>
            </w:r>
            <w:proofErr w:type="gramStart"/>
            <w:r>
              <w:rPr>
                <w:rFonts w:ascii="宋体" w:hAnsi="宋体" w:hint="eastAsia"/>
              </w:rPr>
              <w:t>不</w:t>
            </w:r>
            <w:proofErr w:type="gramEnd"/>
            <w:r>
              <w:rPr>
                <w:rFonts w:ascii="宋体" w:hAnsi="宋体" w:hint="eastAsia"/>
              </w:rPr>
              <w:t>透水材料、不易积垢并易于清洗。</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366"/>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15.5</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rPr>
              <w:t>设专供存放</w:t>
            </w:r>
            <w:proofErr w:type="gramStart"/>
            <w:r>
              <w:rPr>
                <w:rFonts w:ascii="宋体" w:hAnsi="宋体" w:hint="eastAsia"/>
              </w:rPr>
              <w:t>消毒后餐用具</w:t>
            </w:r>
            <w:proofErr w:type="gramEnd"/>
            <w:r>
              <w:rPr>
                <w:rFonts w:ascii="宋体" w:hAnsi="宋体" w:hint="eastAsia"/>
              </w:rPr>
              <w:t>的保洁设施，标记明显，结构密闭并易于清洁。</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rPr>
              <w:t>**</w:t>
            </w:r>
          </w:p>
        </w:tc>
      </w:tr>
      <w:tr w:rsidR="009E3224" w:rsidTr="001541CE">
        <w:trPr>
          <w:cantSplit/>
          <w:trHeight w:val="366"/>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15.6</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rPr>
              <w:t>清洗、消毒、保洁设备设施的大小和数量能满足需要。</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rPr>
              <w:t>***</w:t>
            </w:r>
          </w:p>
        </w:tc>
      </w:tr>
      <w:tr w:rsidR="009E3224" w:rsidTr="001541CE">
        <w:trPr>
          <w:cantSplit/>
          <w:trHeight w:val="366"/>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hint="eastAsia"/>
                <w:color w:val="000000"/>
                <w:szCs w:val="21"/>
              </w:rPr>
            </w:pPr>
            <w:r>
              <w:rPr>
                <w:rFonts w:ascii="宋体" w:hAnsi="宋体" w:hint="eastAsia"/>
                <w:color w:val="000000"/>
                <w:szCs w:val="21"/>
              </w:rPr>
              <w:t>15.7</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hint="eastAsia"/>
              </w:rPr>
            </w:pPr>
            <w:r>
              <w:rPr>
                <w:rFonts w:ascii="宋体" w:hAnsi="宋体"/>
                <w:szCs w:val="21"/>
              </w:rPr>
              <w:t>采用自动清洗消毒设备的，设备上应有温度显示和清洗消毒剂自动添加装置</w:t>
            </w:r>
            <w:r>
              <w:rPr>
                <w:rFonts w:ascii="宋体" w:hAnsi="宋体" w:hint="eastAsia"/>
                <w:szCs w:val="21"/>
              </w:rPr>
              <w:t>。</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hint="eastAsia"/>
              </w:rPr>
            </w:pPr>
            <w:r>
              <w:rPr>
                <w:rFonts w:ascii="宋体" w:hAnsi="宋体" w:hint="eastAsia"/>
              </w:rPr>
              <w:t>***</w:t>
            </w:r>
          </w:p>
        </w:tc>
      </w:tr>
      <w:tr w:rsidR="009E3224" w:rsidTr="001541CE">
        <w:trPr>
          <w:cantSplit/>
          <w:trHeight w:val="678"/>
          <w:jc w:val="center"/>
        </w:trPr>
        <w:tc>
          <w:tcPr>
            <w:tcW w:w="1859" w:type="dxa"/>
            <w:vMerge w:val="restart"/>
            <w:tcBorders>
              <w:top w:val="single" w:sz="4" w:space="0" w:color="auto"/>
              <w:left w:val="single" w:sz="4" w:space="0" w:color="auto"/>
              <w:right w:val="single" w:sz="4" w:space="0" w:color="auto"/>
            </w:tcBorders>
            <w:vAlign w:val="center"/>
          </w:tcPr>
          <w:p w:rsidR="009E3224" w:rsidRDefault="009E3224" w:rsidP="001541CE">
            <w:pPr>
              <w:jc w:val="center"/>
              <w:rPr>
                <w:rFonts w:ascii="宋体" w:hAnsi="宋体" w:hint="eastAsia"/>
                <w:color w:val="000000"/>
                <w:szCs w:val="21"/>
              </w:rPr>
            </w:pPr>
            <w:r>
              <w:rPr>
                <w:rFonts w:ascii="宋体" w:hAnsi="宋体" w:hint="eastAsia"/>
                <w:color w:val="000000"/>
                <w:szCs w:val="21"/>
              </w:rPr>
              <w:t>16.采光照明设施</w:t>
            </w:r>
          </w:p>
        </w:tc>
        <w:tc>
          <w:tcPr>
            <w:tcW w:w="851" w:type="dxa"/>
            <w:tcBorders>
              <w:top w:val="single" w:sz="4" w:space="0" w:color="auto"/>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16.1</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color w:val="FF0000"/>
                <w:szCs w:val="21"/>
              </w:rPr>
            </w:pPr>
            <w:r>
              <w:rPr>
                <w:rFonts w:ascii="宋体" w:hAnsi="宋体" w:hint="eastAsia"/>
                <w:szCs w:val="21"/>
              </w:rPr>
              <w:t>加工场所有充足的自然采光或人工照明，加工场所工作面高于220lux，其它场所高于110lux，光源不改变所观察食品的天然颜色。</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324"/>
          <w:jc w:val="center"/>
        </w:trPr>
        <w:tc>
          <w:tcPr>
            <w:tcW w:w="1859" w:type="dxa"/>
            <w:vMerge/>
            <w:tcBorders>
              <w:left w:val="single" w:sz="4" w:space="0" w:color="auto"/>
              <w:bottom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bottom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16.2</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安装在食品暴露正上方的照明设施使用防护罩。</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665"/>
          <w:jc w:val="center"/>
        </w:trPr>
        <w:tc>
          <w:tcPr>
            <w:tcW w:w="1859" w:type="dxa"/>
            <w:vMerge w:val="restart"/>
            <w:tcBorders>
              <w:top w:val="single" w:sz="4" w:space="0" w:color="auto"/>
              <w:left w:val="single" w:sz="4" w:space="0" w:color="auto"/>
              <w:right w:val="single" w:sz="4" w:space="0" w:color="auto"/>
            </w:tcBorders>
            <w:vAlign w:val="center"/>
          </w:tcPr>
          <w:p w:rsidR="009E3224" w:rsidRDefault="009E3224" w:rsidP="001541CE">
            <w:pPr>
              <w:jc w:val="center"/>
              <w:rPr>
                <w:rFonts w:ascii="宋体" w:hAnsi="宋体" w:hint="eastAsia"/>
                <w:color w:val="000000"/>
                <w:szCs w:val="21"/>
              </w:rPr>
            </w:pPr>
            <w:r>
              <w:rPr>
                <w:rFonts w:ascii="宋体" w:hAnsi="宋体" w:hint="eastAsia"/>
                <w:color w:val="000000"/>
                <w:szCs w:val="21"/>
              </w:rPr>
              <w:t>17.清洗水池</w:t>
            </w:r>
          </w:p>
        </w:tc>
        <w:tc>
          <w:tcPr>
            <w:tcW w:w="851" w:type="dxa"/>
            <w:tcBorders>
              <w:top w:val="single" w:sz="4" w:space="0" w:color="auto"/>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17.1</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原料加工场所分别设与加工食品品种相符合的原料清洗水池和操作台（如畜禽类、果蔬类、水产类等）</w:t>
            </w:r>
            <w:r>
              <w:rPr>
                <w:rFonts w:ascii="宋体" w:hAnsi="宋体" w:hint="eastAsia"/>
                <w:kern w:val="0"/>
                <w:szCs w:val="21"/>
              </w:rPr>
              <w:t>，水</w:t>
            </w:r>
            <w:r>
              <w:rPr>
                <w:rFonts w:ascii="宋体" w:hAnsi="宋体" w:hint="eastAsia"/>
                <w:kern w:val="0"/>
              </w:rPr>
              <w:t>池数量或容量与加工食品的数量相适应。</w:t>
            </w:r>
            <w:r>
              <w:rPr>
                <w:rFonts w:ascii="宋体" w:hAnsi="宋体" w:hint="eastAsia"/>
                <w:szCs w:val="21"/>
              </w:rPr>
              <w:t>各类水池有明显的区分标识。</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444"/>
          <w:jc w:val="center"/>
        </w:trPr>
        <w:tc>
          <w:tcPr>
            <w:tcW w:w="1859" w:type="dxa"/>
            <w:vMerge/>
            <w:tcBorders>
              <w:left w:val="single" w:sz="4" w:space="0" w:color="auto"/>
              <w:bottom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bottom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17.2</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加工场所内设专用于拖把等清洁工具的清洗水池，其位置不会污染食品及其加工操作过程。</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292"/>
          <w:jc w:val="center"/>
        </w:trPr>
        <w:tc>
          <w:tcPr>
            <w:tcW w:w="1859" w:type="dxa"/>
            <w:vMerge w:val="restart"/>
            <w:tcBorders>
              <w:top w:val="single" w:sz="4" w:space="0" w:color="auto"/>
              <w:left w:val="single" w:sz="4" w:space="0" w:color="auto"/>
              <w:right w:val="single" w:sz="4" w:space="0" w:color="auto"/>
            </w:tcBorders>
            <w:vAlign w:val="center"/>
          </w:tcPr>
          <w:p w:rsidR="009E3224" w:rsidRDefault="009E3224" w:rsidP="001541CE">
            <w:pPr>
              <w:jc w:val="center"/>
              <w:rPr>
                <w:rFonts w:ascii="宋体" w:hAnsi="宋体" w:hint="eastAsia"/>
                <w:color w:val="000000"/>
                <w:szCs w:val="21"/>
              </w:rPr>
            </w:pPr>
            <w:r>
              <w:rPr>
                <w:rFonts w:ascii="宋体" w:hAnsi="宋体" w:hint="eastAsia"/>
                <w:color w:val="000000"/>
                <w:szCs w:val="21"/>
              </w:rPr>
              <w:t>18.废弃物暂存设施及管理记录</w:t>
            </w:r>
          </w:p>
        </w:tc>
        <w:tc>
          <w:tcPr>
            <w:tcW w:w="851" w:type="dxa"/>
            <w:tcBorders>
              <w:top w:val="single" w:sz="4" w:space="0" w:color="auto"/>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18.1</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color w:val="FF0000"/>
                <w:szCs w:val="21"/>
              </w:rPr>
            </w:pPr>
            <w:r>
              <w:rPr>
                <w:rFonts w:ascii="宋体" w:hAnsi="宋体" w:hint="eastAsia"/>
                <w:szCs w:val="21"/>
              </w:rPr>
              <w:t>设有存放垃圾和废弃物的容器。</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328"/>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18.2</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存放垃圾和废弃物的容器配有盖子，并用坚固及</w:t>
            </w:r>
            <w:proofErr w:type="gramStart"/>
            <w:r>
              <w:rPr>
                <w:rFonts w:ascii="宋体" w:hAnsi="宋体" w:hint="eastAsia"/>
                <w:szCs w:val="21"/>
              </w:rPr>
              <w:t>不</w:t>
            </w:r>
            <w:proofErr w:type="gramEnd"/>
            <w:r>
              <w:rPr>
                <w:rFonts w:ascii="宋体" w:hAnsi="宋体" w:hint="eastAsia"/>
                <w:szCs w:val="21"/>
              </w:rPr>
              <w:t>透水的材料制成，内壁光滑便于清洗。</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318"/>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18.3</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rPr>
              <w:t>有符合要求的餐厨垃圾及废弃食用油脂管理记录台帐。</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318"/>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hint="eastAsia"/>
                <w:color w:val="000000"/>
                <w:szCs w:val="21"/>
              </w:rPr>
            </w:pPr>
            <w:r>
              <w:rPr>
                <w:rFonts w:ascii="宋体" w:hAnsi="宋体" w:hint="eastAsia"/>
                <w:color w:val="000000"/>
                <w:szCs w:val="21"/>
              </w:rPr>
              <w:t>18.4</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hint="eastAsia"/>
              </w:rPr>
            </w:pPr>
            <w:r>
              <w:rPr>
                <w:rFonts w:ascii="宋体" w:hAnsi="宋体" w:hint="eastAsia"/>
              </w:rPr>
              <w:t>安装符合要求的油水分离器。</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hint="eastAsia"/>
                <w:bCs/>
                <w:szCs w:val="21"/>
              </w:rPr>
            </w:pPr>
            <w:r>
              <w:rPr>
                <w:rFonts w:ascii="宋体" w:hAnsi="宋体" w:hint="eastAsia"/>
                <w:bCs/>
                <w:szCs w:val="21"/>
              </w:rPr>
              <w:t>***</w:t>
            </w:r>
          </w:p>
        </w:tc>
      </w:tr>
      <w:tr w:rsidR="009E3224" w:rsidTr="001541CE">
        <w:trPr>
          <w:cantSplit/>
          <w:trHeight w:val="346"/>
          <w:jc w:val="center"/>
        </w:trPr>
        <w:tc>
          <w:tcPr>
            <w:tcW w:w="1859" w:type="dxa"/>
            <w:vMerge w:val="restart"/>
            <w:tcBorders>
              <w:top w:val="single" w:sz="4" w:space="0" w:color="auto"/>
              <w:left w:val="single" w:sz="4" w:space="0" w:color="auto"/>
              <w:right w:val="single" w:sz="4" w:space="0" w:color="auto"/>
            </w:tcBorders>
            <w:vAlign w:val="center"/>
          </w:tcPr>
          <w:p w:rsidR="009E3224" w:rsidRDefault="009E3224" w:rsidP="001541CE">
            <w:pPr>
              <w:jc w:val="center"/>
              <w:rPr>
                <w:rFonts w:ascii="宋体" w:hAnsi="宋体" w:hint="eastAsia"/>
                <w:color w:val="000000"/>
                <w:szCs w:val="21"/>
              </w:rPr>
            </w:pPr>
            <w:r>
              <w:rPr>
                <w:rFonts w:ascii="宋体" w:hAnsi="宋体" w:hint="eastAsia"/>
                <w:color w:val="000000"/>
                <w:szCs w:val="21"/>
              </w:rPr>
              <w:t>19.设备、工具和容器</w:t>
            </w:r>
          </w:p>
        </w:tc>
        <w:tc>
          <w:tcPr>
            <w:tcW w:w="851" w:type="dxa"/>
            <w:tcBorders>
              <w:top w:val="single" w:sz="4" w:space="0" w:color="auto"/>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19.1</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rPr>
              <w:t>接触食品的设备、工具、容器、包装材料等符合食品安全标准或要求。</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373"/>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19.2</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kern w:val="0"/>
              </w:rPr>
              <w:t>接触食品的设备、工具和容器易于清洗消毒。</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345"/>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19.3</w:t>
            </w:r>
          </w:p>
        </w:tc>
        <w:tc>
          <w:tcPr>
            <w:tcW w:w="10208" w:type="dxa"/>
            <w:tcBorders>
              <w:top w:val="single" w:sz="4" w:space="0" w:color="auto"/>
              <w:left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kern w:val="0"/>
              </w:rPr>
              <w:t>所有食品设备、工具和容器不</w:t>
            </w:r>
            <w:r>
              <w:rPr>
                <w:rFonts w:ascii="宋体" w:hAnsi="宋体"/>
                <w:kern w:val="0"/>
              </w:rPr>
              <w:t>使用木质材料</w:t>
            </w:r>
            <w:r>
              <w:rPr>
                <w:rFonts w:ascii="宋体" w:hAnsi="宋体" w:hint="eastAsia"/>
                <w:kern w:val="0"/>
              </w:rPr>
              <w:t>，因</w:t>
            </w:r>
            <w:r>
              <w:rPr>
                <w:rFonts w:ascii="宋体" w:hAnsi="宋体"/>
                <w:kern w:val="0"/>
              </w:rPr>
              <w:t>工艺要求必须使用除外</w:t>
            </w:r>
            <w:r>
              <w:rPr>
                <w:rFonts w:ascii="宋体" w:hAnsi="宋体" w:hint="eastAsia"/>
                <w:kern w:val="0"/>
              </w:rPr>
              <w:t>。</w:t>
            </w:r>
          </w:p>
        </w:tc>
        <w:tc>
          <w:tcPr>
            <w:tcW w:w="1073" w:type="dxa"/>
            <w:tcBorders>
              <w:top w:val="single" w:sz="4" w:space="0" w:color="auto"/>
              <w:left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360"/>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19.4</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食品容器、工具和设备与食品的接触面平滑、无凹陷或裂缝。</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331"/>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hint="eastAsia"/>
                <w:color w:val="000000"/>
                <w:szCs w:val="21"/>
              </w:rPr>
            </w:pPr>
            <w:r>
              <w:rPr>
                <w:rFonts w:ascii="宋体" w:hAnsi="宋体" w:hint="eastAsia"/>
                <w:color w:val="000000"/>
                <w:szCs w:val="21"/>
              </w:rPr>
              <w:t>19.5</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hint="eastAsia"/>
                <w:szCs w:val="21"/>
              </w:rPr>
            </w:pPr>
            <w:r>
              <w:rPr>
                <w:rFonts w:ascii="宋体" w:hAnsi="宋体" w:hint="eastAsia"/>
                <w:szCs w:val="21"/>
              </w:rPr>
              <w:t>各类设施设备应坚固耐用，无明显破损、锈蚀、积垢。</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hint="eastAsia"/>
                <w:bCs/>
                <w:szCs w:val="21"/>
              </w:rPr>
            </w:pPr>
            <w:r>
              <w:rPr>
                <w:rFonts w:ascii="宋体" w:hAnsi="宋体" w:hint="eastAsia"/>
                <w:kern w:val="0"/>
                <w:szCs w:val="21"/>
              </w:rPr>
              <w:t>**</w:t>
            </w:r>
          </w:p>
        </w:tc>
      </w:tr>
      <w:tr w:rsidR="009E3224" w:rsidTr="001541CE">
        <w:trPr>
          <w:cantSplit/>
          <w:trHeight w:val="331"/>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hint="eastAsia"/>
                <w:color w:val="000000"/>
                <w:szCs w:val="21"/>
              </w:rPr>
            </w:pPr>
            <w:r>
              <w:rPr>
                <w:rFonts w:ascii="宋体" w:hAnsi="宋体" w:hint="eastAsia"/>
                <w:color w:val="000000"/>
                <w:szCs w:val="21"/>
              </w:rPr>
              <w:t>19.6</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hint="eastAsia"/>
                <w:szCs w:val="21"/>
              </w:rPr>
            </w:pPr>
            <w:r>
              <w:rPr>
                <w:rFonts w:ascii="宋体" w:hAnsi="宋体"/>
              </w:rPr>
              <w:t>用于原料、半成品、成品</w:t>
            </w:r>
            <w:r>
              <w:rPr>
                <w:rFonts w:ascii="宋体" w:hAnsi="宋体" w:hint="eastAsia"/>
              </w:rPr>
              <w:t>的</w:t>
            </w:r>
            <w:r>
              <w:rPr>
                <w:rFonts w:ascii="宋体" w:hAnsi="宋体"/>
              </w:rPr>
              <w:t>工具、用具</w:t>
            </w:r>
            <w:r>
              <w:rPr>
                <w:rFonts w:ascii="宋体" w:hAnsi="宋体" w:hint="eastAsia"/>
              </w:rPr>
              <w:t>和容器，</w:t>
            </w:r>
            <w:r>
              <w:rPr>
                <w:rFonts w:ascii="宋体" w:hAnsi="宋体"/>
              </w:rPr>
              <w:t>有明显的区分标</w:t>
            </w:r>
            <w:r>
              <w:rPr>
                <w:rFonts w:ascii="宋体" w:hAnsi="宋体" w:hint="eastAsia"/>
              </w:rPr>
              <w:t>识，存放区域分开设置，标识明显。</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hint="eastAsia"/>
                <w:kern w:val="0"/>
                <w:szCs w:val="21"/>
              </w:rPr>
            </w:pPr>
            <w:r>
              <w:rPr>
                <w:rFonts w:ascii="宋体" w:hAnsi="宋体" w:hint="eastAsia"/>
                <w:bCs/>
                <w:szCs w:val="21"/>
              </w:rPr>
              <w:t>***</w:t>
            </w:r>
          </w:p>
        </w:tc>
      </w:tr>
      <w:tr w:rsidR="009E3224" w:rsidTr="001541CE">
        <w:trPr>
          <w:cantSplit/>
          <w:trHeight w:val="331"/>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hint="eastAsia"/>
                <w:color w:val="000000"/>
                <w:szCs w:val="21"/>
              </w:rPr>
            </w:pPr>
            <w:r>
              <w:rPr>
                <w:rFonts w:ascii="宋体" w:hAnsi="宋体" w:hint="eastAsia"/>
                <w:color w:val="000000"/>
                <w:szCs w:val="21"/>
              </w:rPr>
              <w:t>19.7</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rPr>
            </w:pPr>
            <w:r>
              <w:rPr>
                <w:rFonts w:ascii="宋体" w:cs="宋体" w:hint="eastAsia"/>
                <w:kern w:val="0"/>
                <w:szCs w:val="21"/>
              </w:rPr>
              <w:t>食品烹调场所应配备自动或半自动机械炊饭设备。</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hint="eastAsia"/>
                <w:bCs/>
                <w:szCs w:val="21"/>
              </w:rPr>
            </w:pPr>
            <w:r>
              <w:rPr>
                <w:rFonts w:ascii="宋体" w:hAnsi="宋体" w:hint="eastAsia"/>
                <w:kern w:val="0"/>
                <w:szCs w:val="21"/>
              </w:rPr>
              <w:t>*</w:t>
            </w:r>
          </w:p>
        </w:tc>
      </w:tr>
      <w:tr w:rsidR="009E3224" w:rsidTr="001541CE">
        <w:trPr>
          <w:cantSplit/>
          <w:trHeight w:val="380"/>
          <w:jc w:val="center"/>
        </w:trPr>
        <w:tc>
          <w:tcPr>
            <w:tcW w:w="1859" w:type="dxa"/>
            <w:vMerge w:val="restart"/>
            <w:tcBorders>
              <w:left w:val="single" w:sz="4" w:space="0" w:color="auto"/>
              <w:right w:val="single" w:sz="4" w:space="0" w:color="auto"/>
            </w:tcBorders>
            <w:vAlign w:val="center"/>
          </w:tcPr>
          <w:p w:rsidR="009E3224" w:rsidRDefault="009E3224" w:rsidP="001541CE">
            <w:pPr>
              <w:jc w:val="center"/>
              <w:rPr>
                <w:rFonts w:ascii="宋体" w:hAnsi="宋体" w:hint="eastAsia"/>
                <w:color w:val="000000"/>
                <w:szCs w:val="21"/>
              </w:rPr>
            </w:pPr>
            <w:r>
              <w:rPr>
                <w:rFonts w:ascii="宋体" w:hAnsi="宋体" w:hint="eastAsia"/>
                <w:color w:val="000000"/>
                <w:szCs w:val="21"/>
              </w:rPr>
              <w:t>20.运输车辆</w:t>
            </w: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20.1</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szCs w:val="21"/>
              </w:rPr>
              <w:t>配备与供应方式、数量相适应的封闭式专用运输车辆。运输车辆和容器内部材质和结构</w:t>
            </w:r>
            <w:r>
              <w:rPr>
                <w:rFonts w:ascii="宋体" w:hAnsi="宋体" w:hint="eastAsia"/>
                <w:szCs w:val="21"/>
              </w:rPr>
              <w:t>应</w:t>
            </w:r>
            <w:r>
              <w:rPr>
                <w:rFonts w:ascii="宋体" w:hAnsi="宋体"/>
                <w:szCs w:val="21"/>
              </w:rPr>
              <w:t>便于清洗和消毒。</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380"/>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20.2</w:t>
            </w:r>
          </w:p>
        </w:tc>
        <w:tc>
          <w:tcPr>
            <w:tcW w:w="10208"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冷藏盒饭运输车辆配备制冷装置和温度记录装置，使运输时盒饭中心温度保持在</w:t>
            </w:r>
            <w:smartTag w:uri="urn:schemas-microsoft-com:office:smarttags" w:element="chmetcnv">
              <w:smartTagPr>
                <w:attr w:name="TCSC" w:val="0"/>
                <w:attr w:name="NumberType" w:val="1"/>
                <w:attr w:name="Negative" w:val="False"/>
                <w:attr w:name="HasSpace" w:val="False"/>
                <w:attr w:name="SourceValue" w:val="10"/>
                <w:attr w:name="UnitName" w:val="℃"/>
              </w:smartTagPr>
              <w:r>
                <w:rPr>
                  <w:rFonts w:ascii="宋体" w:hAnsi="宋体" w:hint="eastAsia"/>
                  <w:szCs w:val="21"/>
                </w:rPr>
                <w:t>10℃</w:t>
              </w:r>
            </w:smartTag>
            <w:r>
              <w:rPr>
                <w:rFonts w:ascii="宋体" w:hAnsi="宋体" w:hint="eastAsia"/>
                <w:szCs w:val="21"/>
              </w:rPr>
              <w:t>以下。</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380"/>
          <w:jc w:val="center"/>
        </w:trPr>
        <w:tc>
          <w:tcPr>
            <w:tcW w:w="1859" w:type="dxa"/>
            <w:vMerge w:val="restart"/>
            <w:tcBorders>
              <w:left w:val="single" w:sz="4" w:space="0" w:color="auto"/>
              <w:right w:val="single" w:sz="4" w:space="0" w:color="auto"/>
            </w:tcBorders>
            <w:vAlign w:val="center"/>
          </w:tcPr>
          <w:p w:rsidR="009E3224" w:rsidRDefault="009E3224" w:rsidP="001541CE">
            <w:pPr>
              <w:jc w:val="center"/>
              <w:rPr>
                <w:rFonts w:ascii="宋体" w:hAnsi="宋体" w:hint="eastAsia"/>
                <w:kern w:val="0"/>
                <w:szCs w:val="21"/>
              </w:rPr>
            </w:pPr>
            <w:r>
              <w:rPr>
                <w:rFonts w:ascii="宋体" w:hAnsi="宋体" w:hint="eastAsia"/>
                <w:color w:val="000000"/>
                <w:szCs w:val="21"/>
              </w:rPr>
              <w:t>21.</w:t>
            </w:r>
            <w:r>
              <w:rPr>
                <w:rFonts w:ascii="宋体" w:hAnsi="宋体" w:hint="eastAsia"/>
                <w:kern w:val="0"/>
                <w:szCs w:val="21"/>
              </w:rPr>
              <w:t>冷藏盒饭冷却场所和设备</w:t>
            </w: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21.</w:t>
            </w:r>
            <w:r>
              <w:rPr>
                <w:rFonts w:ascii="宋体" w:hAnsi="宋体" w:hint="eastAsia"/>
                <w:kern w:val="0"/>
                <w:szCs w:val="21"/>
              </w:rPr>
              <w:t>1</w:t>
            </w:r>
          </w:p>
        </w:tc>
        <w:tc>
          <w:tcPr>
            <w:tcW w:w="10208" w:type="dxa"/>
            <w:tcBorders>
              <w:left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szCs w:val="21"/>
              </w:rPr>
              <w:t>采用冷链工艺生产盒饭的，应配备与盒饭生产数量相适应的冷却专间和快速冷却设备（如真空冷却机、隧道式冷却设备）。</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380"/>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hint="eastAsia"/>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hint="eastAsia"/>
                <w:color w:val="000000"/>
                <w:szCs w:val="21"/>
              </w:rPr>
            </w:pPr>
            <w:r>
              <w:rPr>
                <w:rFonts w:ascii="宋体" w:hAnsi="宋体" w:hint="eastAsia"/>
                <w:color w:val="000000"/>
                <w:szCs w:val="21"/>
              </w:rPr>
              <w:t>21.2</w:t>
            </w:r>
          </w:p>
        </w:tc>
        <w:tc>
          <w:tcPr>
            <w:tcW w:w="10208" w:type="dxa"/>
            <w:tcBorders>
              <w:left w:val="single" w:sz="4" w:space="0" w:color="auto"/>
              <w:right w:val="single" w:sz="4" w:space="0" w:color="auto"/>
            </w:tcBorders>
            <w:vAlign w:val="center"/>
          </w:tcPr>
          <w:p w:rsidR="009E3224" w:rsidRDefault="009E3224" w:rsidP="001541CE">
            <w:pPr>
              <w:rPr>
                <w:rFonts w:ascii="宋体" w:hAnsi="宋体" w:hint="eastAsia"/>
                <w:szCs w:val="21"/>
              </w:rPr>
            </w:pPr>
            <w:r w:rsidRPr="005816D8">
              <w:rPr>
                <w:rFonts w:ascii="宋体" w:hAnsi="宋体" w:hint="eastAsia"/>
                <w:szCs w:val="21"/>
              </w:rPr>
              <w:t>快速冷却设备和冷却专间的其冷却设备功率和技术参数应能满足冷却温度和生产数量的需要。冷却专间应配备能满足冷却要求的风冷设备，以及紫外线灭菌灯、温度指示装置等设施。</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380"/>
          <w:jc w:val="center"/>
        </w:trPr>
        <w:tc>
          <w:tcPr>
            <w:tcW w:w="1859" w:type="dxa"/>
            <w:vMerge/>
            <w:tcBorders>
              <w:left w:val="single" w:sz="4" w:space="0" w:color="auto"/>
              <w:right w:val="single" w:sz="4" w:space="0" w:color="auto"/>
            </w:tcBorders>
            <w:vAlign w:val="center"/>
          </w:tcPr>
          <w:p w:rsidR="009E3224" w:rsidRDefault="009E3224" w:rsidP="001541CE">
            <w:pPr>
              <w:jc w:val="center"/>
              <w:rPr>
                <w:rFonts w:ascii="宋体" w:hAnsi="宋体" w:hint="eastAsia"/>
                <w:color w:val="000000"/>
                <w:szCs w:val="21"/>
              </w:rPr>
            </w:pP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hint="eastAsia"/>
                <w:color w:val="000000"/>
                <w:szCs w:val="21"/>
              </w:rPr>
            </w:pPr>
            <w:r>
              <w:rPr>
                <w:rFonts w:ascii="宋体" w:hAnsi="宋体" w:hint="eastAsia"/>
                <w:color w:val="000000"/>
                <w:szCs w:val="21"/>
              </w:rPr>
              <w:t>21.3</w:t>
            </w:r>
          </w:p>
        </w:tc>
        <w:tc>
          <w:tcPr>
            <w:tcW w:w="10208" w:type="dxa"/>
            <w:tcBorders>
              <w:left w:val="single" w:sz="4" w:space="0" w:color="auto"/>
              <w:right w:val="single" w:sz="4" w:space="0" w:color="auto"/>
            </w:tcBorders>
            <w:vAlign w:val="center"/>
          </w:tcPr>
          <w:p w:rsidR="009E3224" w:rsidRPr="005816D8" w:rsidRDefault="009E3224" w:rsidP="001541CE">
            <w:pPr>
              <w:rPr>
                <w:rFonts w:ascii="宋体" w:hAnsi="宋体" w:hint="eastAsia"/>
                <w:szCs w:val="21"/>
              </w:rPr>
            </w:pPr>
            <w:r>
              <w:rPr>
                <w:rFonts w:ascii="宋体" w:hAnsi="宋体" w:hint="eastAsia"/>
                <w:szCs w:val="21"/>
              </w:rPr>
              <w:t>生产场所</w:t>
            </w:r>
            <w:r w:rsidRPr="00616FBB">
              <w:rPr>
                <w:rFonts w:ascii="宋体" w:hAnsi="宋体" w:hint="eastAsia"/>
                <w:szCs w:val="21"/>
              </w:rPr>
              <w:t>应设置</w:t>
            </w:r>
            <w:r>
              <w:rPr>
                <w:rFonts w:ascii="宋体" w:hAnsi="宋体" w:hint="eastAsia"/>
                <w:szCs w:val="21"/>
              </w:rPr>
              <w:t>大小应能满足成品贮存温度和生产数量</w:t>
            </w:r>
            <w:r w:rsidRPr="00616FBB">
              <w:rPr>
                <w:rFonts w:ascii="宋体" w:hAnsi="宋体" w:hint="eastAsia"/>
                <w:szCs w:val="21"/>
              </w:rPr>
              <w:t>需要</w:t>
            </w:r>
            <w:r>
              <w:rPr>
                <w:rFonts w:ascii="宋体" w:hAnsi="宋体" w:hint="eastAsia"/>
                <w:szCs w:val="21"/>
              </w:rPr>
              <w:t>的</w:t>
            </w:r>
            <w:r w:rsidRPr="00616FBB">
              <w:rPr>
                <w:rFonts w:ascii="宋体" w:hAnsi="宋体" w:hint="eastAsia"/>
                <w:szCs w:val="21"/>
              </w:rPr>
              <w:t>成品冷库。</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bCs/>
                <w:szCs w:val="21"/>
              </w:rPr>
            </w:pPr>
            <w:r>
              <w:rPr>
                <w:rFonts w:ascii="宋体" w:hAnsi="宋体" w:hint="eastAsia"/>
                <w:bCs/>
                <w:szCs w:val="21"/>
              </w:rPr>
              <w:t>***</w:t>
            </w:r>
          </w:p>
        </w:tc>
      </w:tr>
      <w:tr w:rsidR="009E3224" w:rsidTr="001541CE">
        <w:trPr>
          <w:cantSplit/>
          <w:trHeight w:val="380"/>
          <w:jc w:val="center"/>
        </w:trPr>
        <w:tc>
          <w:tcPr>
            <w:tcW w:w="1859" w:type="dxa"/>
            <w:tcBorders>
              <w:left w:val="single" w:sz="4" w:space="0" w:color="auto"/>
              <w:right w:val="single" w:sz="4" w:space="0" w:color="auto"/>
            </w:tcBorders>
            <w:vAlign w:val="center"/>
          </w:tcPr>
          <w:p w:rsidR="009E3224" w:rsidRDefault="009E3224" w:rsidP="001541CE">
            <w:pPr>
              <w:jc w:val="center"/>
              <w:rPr>
                <w:rFonts w:ascii="宋体" w:hAnsi="宋体" w:hint="eastAsia"/>
                <w:kern w:val="0"/>
                <w:szCs w:val="21"/>
              </w:rPr>
            </w:pPr>
            <w:r>
              <w:rPr>
                <w:rFonts w:ascii="宋体" w:hAnsi="宋体" w:hint="eastAsia"/>
                <w:color w:val="000000"/>
                <w:szCs w:val="21"/>
              </w:rPr>
              <w:t>22.</w:t>
            </w:r>
            <w:r>
              <w:rPr>
                <w:rFonts w:ascii="宋体" w:hAnsi="宋体" w:hint="eastAsia"/>
                <w:kern w:val="0"/>
                <w:szCs w:val="21"/>
              </w:rPr>
              <w:t>冷藏盒饭供餐点</w:t>
            </w:r>
            <w:r w:rsidRPr="00893A86">
              <w:rPr>
                <w:rFonts w:ascii="宋体" w:hAnsi="宋体" w:hint="eastAsia"/>
                <w:color w:val="FF0000"/>
                <w:kern w:val="0"/>
                <w:szCs w:val="21"/>
              </w:rPr>
              <w:t>设备和</w:t>
            </w:r>
            <w:r>
              <w:rPr>
                <w:rFonts w:ascii="宋体" w:hAnsi="宋体" w:hint="eastAsia"/>
                <w:kern w:val="0"/>
                <w:szCs w:val="21"/>
              </w:rPr>
              <w:t>设施</w:t>
            </w:r>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22.1</w:t>
            </w:r>
          </w:p>
        </w:tc>
        <w:tc>
          <w:tcPr>
            <w:tcW w:w="10208" w:type="dxa"/>
            <w:tcBorders>
              <w:left w:val="single" w:sz="4" w:space="0" w:color="auto"/>
              <w:right w:val="single" w:sz="4" w:space="0" w:color="auto"/>
            </w:tcBorders>
            <w:vAlign w:val="center"/>
          </w:tcPr>
          <w:p w:rsidR="009E3224" w:rsidRDefault="009E3224" w:rsidP="001541CE">
            <w:pPr>
              <w:rPr>
                <w:rFonts w:ascii="宋体" w:hAnsi="宋体"/>
                <w:szCs w:val="21"/>
              </w:rPr>
            </w:pPr>
            <w:r w:rsidRPr="0073296E">
              <w:rPr>
                <w:rFonts w:ascii="宋体" w:hAnsi="宋体" w:hint="eastAsia"/>
                <w:kern w:val="0"/>
                <w:szCs w:val="21"/>
              </w:rPr>
              <w:t>盒饭供餐点应配备充足的冷藏设施，微波炉、加热柜或蒸箱等盒饭再加热设施，</w:t>
            </w:r>
            <w:r>
              <w:rPr>
                <w:rFonts w:ascii="宋体" w:hAnsi="宋体" w:hint="eastAsia"/>
                <w:kern w:val="0"/>
                <w:szCs w:val="21"/>
              </w:rPr>
              <w:t>能够做到</w:t>
            </w:r>
            <w:r w:rsidRPr="0073296E">
              <w:rPr>
                <w:rFonts w:ascii="宋体" w:hAnsi="宋体" w:hint="eastAsia"/>
                <w:kern w:val="0"/>
                <w:szCs w:val="21"/>
              </w:rPr>
              <w:t>盒饭中心温度持续保持在</w:t>
            </w:r>
            <w:smartTag w:uri="urn:schemas-microsoft-com:office:smarttags" w:element="chmetcnv">
              <w:smartTagPr>
                <w:attr w:name="TCSC" w:val="0"/>
                <w:attr w:name="NumberType" w:val="1"/>
                <w:attr w:name="Negative" w:val="False"/>
                <w:attr w:name="HasSpace" w:val="True"/>
                <w:attr w:name="SourceValue" w:val="10"/>
                <w:attr w:name="UnitName" w:val="℃"/>
              </w:smartTagPr>
              <w:r w:rsidRPr="0073296E">
                <w:rPr>
                  <w:rFonts w:ascii="宋体" w:hAnsi="宋体" w:hint="eastAsia"/>
                  <w:kern w:val="0"/>
                  <w:szCs w:val="21"/>
                </w:rPr>
                <w:t>10 ℃</w:t>
              </w:r>
            </w:smartTag>
            <w:r w:rsidRPr="0073296E">
              <w:rPr>
                <w:rFonts w:ascii="宋体" w:hAnsi="宋体" w:hint="eastAsia"/>
                <w:kern w:val="0"/>
                <w:szCs w:val="21"/>
              </w:rPr>
              <w:t>以下，膳食食用</w:t>
            </w:r>
            <w:proofErr w:type="gramStart"/>
            <w:r w:rsidRPr="0073296E">
              <w:rPr>
                <w:rFonts w:ascii="宋体" w:hAnsi="宋体" w:hint="eastAsia"/>
                <w:kern w:val="0"/>
                <w:szCs w:val="21"/>
              </w:rPr>
              <w:t>前中心</w:t>
            </w:r>
            <w:proofErr w:type="gramEnd"/>
            <w:r w:rsidRPr="0073296E">
              <w:rPr>
                <w:rFonts w:ascii="宋体" w:hAnsi="宋体" w:hint="eastAsia"/>
                <w:kern w:val="0"/>
                <w:szCs w:val="21"/>
              </w:rPr>
              <w:t>温度能加热至</w:t>
            </w:r>
            <w:smartTag w:uri="urn:schemas-microsoft-com:office:smarttags" w:element="chmetcnv">
              <w:smartTagPr>
                <w:attr w:name="TCSC" w:val="0"/>
                <w:attr w:name="NumberType" w:val="1"/>
                <w:attr w:name="Negative" w:val="False"/>
                <w:attr w:name="HasSpace" w:val="False"/>
                <w:attr w:name="SourceValue" w:val="70"/>
                <w:attr w:name="UnitName" w:val="℃"/>
              </w:smartTagPr>
              <w:r w:rsidRPr="0073296E">
                <w:rPr>
                  <w:rFonts w:ascii="宋体" w:hAnsi="宋体" w:hint="eastAsia"/>
                  <w:kern w:val="0"/>
                  <w:szCs w:val="21"/>
                </w:rPr>
                <w:t>70℃</w:t>
              </w:r>
            </w:smartTag>
            <w:r w:rsidRPr="0073296E">
              <w:rPr>
                <w:rFonts w:ascii="宋体" w:hAnsi="宋体" w:hint="eastAsia"/>
                <w:kern w:val="0"/>
                <w:szCs w:val="21"/>
              </w:rPr>
              <w:t>以上。</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bCs/>
                <w:szCs w:val="21"/>
              </w:rPr>
              <w:t>***</w:t>
            </w:r>
          </w:p>
        </w:tc>
      </w:tr>
      <w:tr w:rsidR="009E3224" w:rsidTr="001541CE">
        <w:trPr>
          <w:cantSplit/>
          <w:trHeight w:val="380"/>
          <w:jc w:val="center"/>
        </w:trPr>
        <w:tc>
          <w:tcPr>
            <w:tcW w:w="1859" w:type="dxa"/>
            <w:tcBorders>
              <w:left w:val="single" w:sz="4" w:space="0" w:color="auto"/>
              <w:right w:val="single" w:sz="4" w:space="0" w:color="auto"/>
            </w:tcBorders>
            <w:vAlign w:val="center"/>
          </w:tcPr>
          <w:p w:rsidR="009E3224" w:rsidRDefault="009E3224" w:rsidP="001541CE">
            <w:pPr>
              <w:jc w:val="center"/>
              <w:rPr>
                <w:rFonts w:ascii="宋体" w:hAnsi="宋体" w:hint="eastAsia"/>
                <w:kern w:val="0"/>
                <w:szCs w:val="21"/>
              </w:rPr>
            </w:pPr>
            <w:r>
              <w:rPr>
                <w:rFonts w:ascii="宋体" w:hAnsi="宋体" w:hint="eastAsia"/>
                <w:color w:val="000000"/>
                <w:szCs w:val="21"/>
              </w:rPr>
              <w:lastRenderedPageBreak/>
              <w:t>23.</w:t>
            </w:r>
            <w:r>
              <w:rPr>
                <w:rFonts w:ascii="宋体" w:hAnsi="宋体" w:hint="eastAsia"/>
                <w:szCs w:val="21"/>
              </w:rPr>
              <w:t>加热保温</w:t>
            </w:r>
            <w:r>
              <w:rPr>
                <w:rFonts w:ascii="宋体" w:hAnsi="宋体" w:hint="eastAsia"/>
                <w:kern w:val="0"/>
                <w:szCs w:val="21"/>
              </w:rPr>
              <w:t>盒饭加热</w:t>
            </w:r>
            <w:proofErr w:type="gramStart"/>
            <w:r>
              <w:rPr>
                <w:rFonts w:ascii="宋体" w:hAnsi="宋体" w:hint="eastAsia"/>
                <w:kern w:val="0"/>
                <w:szCs w:val="21"/>
              </w:rPr>
              <w:t>保温设施</w:t>
            </w:r>
            <w:proofErr w:type="gramEnd"/>
          </w:p>
        </w:tc>
        <w:tc>
          <w:tcPr>
            <w:tcW w:w="851" w:type="dxa"/>
            <w:tcBorders>
              <w:left w:val="single" w:sz="4" w:space="0" w:color="auto"/>
              <w:right w:val="single" w:sz="4" w:space="0" w:color="auto"/>
            </w:tcBorders>
            <w:vAlign w:val="center"/>
          </w:tcPr>
          <w:p w:rsidR="009E3224" w:rsidRDefault="009E3224" w:rsidP="001541CE">
            <w:pPr>
              <w:jc w:val="center"/>
              <w:rPr>
                <w:rFonts w:ascii="宋体" w:hAnsi="宋体"/>
                <w:color w:val="000000"/>
                <w:szCs w:val="21"/>
              </w:rPr>
            </w:pPr>
            <w:r>
              <w:rPr>
                <w:rFonts w:ascii="宋体" w:hAnsi="宋体" w:hint="eastAsia"/>
                <w:color w:val="000000"/>
                <w:szCs w:val="21"/>
              </w:rPr>
              <w:t>23.</w:t>
            </w:r>
            <w:r>
              <w:rPr>
                <w:rFonts w:ascii="宋体" w:hAnsi="宋体" w:hint="eastAsia"/>
                <w:szCs w:val="21"/>
              </w:rPr>
              <w:t>1</w:t>
            </w:r>
          </w:p>
        </w:tc>
        <w:tc>
          <w:tcPr>
            <w:tcW w:w="10208" w:type="dxa"/>
            <w:tcBorders>
              <w:left w:val="single" w:sz="4" w:space="0" w:color="auto"/>
              <w:right w:val="single" w:sz="4" w:space="0" w:color="auto"/>
            </w:tcBorders>
            <w:vAlign w:val="center"/>
          </w:tcPr>
          <w:p w:rsidR="009E3224" w:rsidRDefault="009E3224" w:rsidP="001541CE">
            <w:pPr>
              <w:rPr>
                <w:rFonts w:ascii="宋体" w:hAnsi="宋体"/>
                <w:szCs w:val="21"/>
              </w:rPr>
            </w:pPr>
            <w:proofErr w:type="gramStart"/>
            <w:r>
              <w:rPr>
                <w:rFonts w:ascii="宋体" w:hAnsi="宋体" w:hint="eastAsia"/>
                <w:szCs w:val="21"/>
              </w:rPr>
              <w:t>采用热链工艺</w:t>
            </w:r>
            <w:proofErr w:type="gramEnd"/>
            <w:r>
              <w:rPr>
                <w:rFonts w:ascii="宋体" w:hAnsi="宋体" w:hint="eastAsia"/>
                <w:szCs w:val="21"/>
              </w:rPr>
              <w:t>生产盒饭的，应设置盒饭二次加热场所（宜紧邻盒饭分装专间），配备微波膳食加热设施，以及与膳食加工配送数量相适应的储存、配送保温设施（如保温性能良好的保温箱）。</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Default="009E3224" w:rsidP="001541CE">
            <w:pPr>
              <w:rPr>
                <w:rFonts w:ascii="宋体" w:hAnsi="宋体"/>
                <w:szCs w:val="21"/>
              </w:rPr>
            </w:pPr>
            <w:r>
              <w:rPr>
                <w:rFonts w:ascii="宋体" w:hAnsi="宋体" w:hint="eastAsia"/>
                <w:bCs/>
                <w:szCs w:val="21"/>
              </w:rPr>
              <w:t>***</w:t>
            </w:r>
          </w:p>
        </w:tc>
      </w:tr>
      <w:tr w:rsidR="009E3224" w:rsidRPr="00326D57" w:rsidTr="001541CE">
        <w:trPr>
          <w:cantSplit/>
          <w:trHeight w:val="380"/>
          <w:jc w:val="center"/>
        </w:trPr>
        <w:tc>
          <w:tcPr>
            <w:tcW w:w="1859" w:type="dxa"/>
            <w:tcBorders>
              <w:left w:val="single" w:sz="4" w:space="0" w:color="auto"/>
              <w:right w:val="single" w:sz="4" w:space="0" w:color="auto"/>
            </w:tcBorders>
            <w:vAlign w:val="center"/>
          </w:tcPr>
          <w:p w:rsidR="009E3224" w:rsidRPr="00326D57" w:rsidRDefault="009E3224" w:rsidP="001541CE">
            <w:pPr>
              <w:jc w:val="center"/>
              <w:rPr>
                <w:rFonts w:ascii="宋体" w:hAnsi="宋体" w:hint="eastAsia"/>
                <w:kern w:val="0"/>
                <w:szCs w:val="21"/>
              </w:rPr>
            </w:pPr>
            <w:r w:rsidRPr="00326D57">
              <w:rPr>
                <w:rFonts w:ascii="宋体" w:hAnsi="宋体" w:hint="eastAsia"/>
                <w:szCs w:val="21"/>
              </w:rPr>
              <w:t>24.</w:t>
            </w:r>
            <w:r w:rsidRPr="00326D57">
              <w:rPr>
                <w:rFonts w:ascii="宋体" w:hAnsi="宋体" w:hint="eastAsia"/>
                <w:kern w:val="0"/>
                <w:szCs w:val="21"/>
              </w:rPr>
              <w:t xml:space="preserve"> 膳食盛装容器和包装材料</w:t>
            </w:r>
          </w:p>
        </w:tc>
        <w:tc>
          <w:tcPr>
            <w:tcW w:w="851" w:type="dxa"/>
            <w:tcBorders>
              <w:left w:val="single" w:sz="4" w:space="0" w:color="auto"/>
              <w:right w:val="single" w:sz="4" w:space="0" w:color="auto"/>
            </w:tcBorders>
            <w:vAlign w:val="center"/>
          </w:tcPr>
          <w:p w:rsidR="009E3224" w:rsidRPr="00326D57" w:rsidRDefault="009E3224" w:rsidP="001541CE">
            <w:pPr>
              <w:jc w:val="center"/>
              <w:rPr>
                <w:rFonts w:ascii="宋体" w:hAnsi="宋体"/>
                <w:kern w:val="0"/>
                <w:szCs w:val="21"/>
              </w:rPr>
            </w:pPr>
            <w:r w:rsidRPr="00326D57">
              <w:rPr>
                <w:rFonts w:ascii="宋体" w:hAnsi="宋体" w:hint="eastAsia"/>
                <w:kern w:val="0"/>
                <w:szCs w:val="21"/>
              </w:rPr>
              <w:t>24.1</w:t>
            </w:r>
          </w:p>
        </w:tc>
        <w:tc>
          <w:tcPr>
            <w:tcW w:w="10208" w:type="dxa"/>
            <w:tcBorders>
              <w:left w:val="single" w:sz="4" w:space="0" w:color="auto"/>
              <w:right w:val="single" w:sz="4" w:space="0" w:color="auto"/>
            </w:tcBorders>
            <w:vAlign w:val="center"/>
          </w:tcPr>
          <w:p w:rsidR="009E3224" w:rsidRPr="00326D57" w:rsidRDefault="009E3224" w:rsidP="001541CE">
            <w:pPr>
              <w:rPr>
                <w:rFonts w:ascii="宋体" w:hAnsi="宋体"/>
                <w:szCs w:val="21"/>
              </w:rPr>
            </w:pPr>
            <w:r w:rsidRPr="00326D57">
              <w:rPr>
                <w:rFonts w:ascii="宋体" w:hAnsi="宋体" w:hint="eastAsia"/>
                <w:kern w:val="0"/>
                <w:szCs w:val="21"/>
              </w:rPr>
              <w:t>膳食盛装容器和包装材料应为</w:t>
            </w:r>
            <w:r w:rsidRPr="003A0067">
              <w:rPr>
                <w:rFonts w:ascii="宋体" w:hAnsi="宋体" w:hint="eastAsia"/>
                <w:kern w:val="0"/>
                <w:szCs w:val="21"/>
              </w:rPr>
              <w:t>符合国家食品安全标准的材质制成。</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Pr="00326D57" w:rsidRDefault="009E3224" w:rsidP="001541CE">
            <w:pPr>
              <w:rPr>
                <w:rFonts w:ascii="宋体" w:hAnsi="宋体"/>
                <w:szCs w:val="21"/>
              </w:rPr>
            </w:pPr>
            <w:r w:rsidRPr="00326D57">
              <w:rPr>
                <w:rFonts w:ascii="宋体" w:hAnsi="宋体" w:hint="eastAsia"/>
                <w:bCs/>
                <w:szCs w:val="21"/>
              </w:rPr>
              <w:t>**</w:t>
            </w:r>
          </w:p>
        </w:tc>
      </w:tr>
      <w:tr w:rsidR="009E3224" w:rsidRPr="00A76829" w:rsidTr="001541CE">
        <w:trPr>
          <w:cantSplit/>
          <w:trHeight w:val="380"/>
          <w:jc w:val="center"/>
        </w:trPr>
        <w:tc>
          <w:tcPr>
            <w:tcW w:w="1859" w:type="dxa"/>
            <w:tcBorders>
              <w:left w:val="single" w:sz="4" w:space="0" w:color="auto"/>
              <w:right w:val="single" w:sz="4" w:space="0" w:color="auto"/>
            </w:tcBorders>
            <w:vAlign w:val="center"/>
          </w:tcPr>
          <w:p w:rsidR="009E3224" w:rsidRDefault="009E3224" w:rsidP="001541CE">
            <w:pPr>
              <w:rPr>
                <w:rFonts w:ascii="宋体" w:hAnsi="宋体" w:hint="eastAsia"/>
                <w:kern w:val="0"/>
                <w:szCs w:val="21"/>
              </w:rPr>
            </w:pPr>
            <w:r>
              <w:rPr>
                <w:rFonts w:ascii="宋体" w:hAnsi="宋体" w:hint="eastAsia"/>
                <w:kern w:val="0"/>
                <w:szCs w:val="21"/>
              </w:rPr>
              <w:t>25.</w:t>
            </w:r>
            <w:proofErr w:type="gramStart"/>
            <w:r>
              <w:rPr>
                <w:rFonts w:ascii="宋体" w:hAnsi="宋体" w:hint="eastAsia"/>
                <w:kern w:val="0"/>
                <w:szCs w:val="21"/>
              </w:rPr>
              <w:t>桶饭</w:t>
            </w:r>
            <w:r w:rsidRPr="00A76829">
              <w:rPr>
                <w:rFonts w:ascii="宋体" w:hAnsi="宋体" w:hint="eastAsia"/>
                <w:kern w:val="0"/>
                <w:szCs w:val="21"/>
              </w:rPr>
              <w:t>暂存</w:t>
            </w:r>
            <w:proofErr w:type="gramEnd"/>
            <w:r w:rsidRPr="00A76829">
              <w:rPr>
                <w:rFonts w:ascii="宋体" w:hAnsi="宋体" w:hint="eastAsia"/>
                <w:kern w:val="0"/>
                <w:szCs w:val="21"/>
              </w:rPr>
              <w:t>场所和</w:t>
            </w:r>
            <w:r>
              <w:rPr>
                <w:rFonts w:ascii="宋体" w:hAnsi="宋体" w:hint="eastAsia"/>
                <w:kern w:val="0"/>
                <w:szCs w:val="21"/>
              </w:rPr>
              <w:t>加热</w:t>
            </w:r>
            <w:proofErr w:type="gramStart"/>
            <w:r>
              <w:rPr>
                <w:rFonts w:ascii="宋体" w:hAnsi="宋体" w:hint="eastAsia"/>
                <w:kern w:val="0"/>
                <w:szCs w:val="21"/>
              </w:rPr>
              <w:t>保温设施</w:t>
            </w:r>
            <w:proofErr w:type="gramEnd"/>
          </w:p>
        </w:tc>
        <w:tc>
          <w:tcPr>
            <w:tcW w:w="851" w:type="dxa"/>
            <w:tcBorders>
              <w:left w:val="single" w:sz="4" w:space="0" w:color="auto"/>
              <w:right w:val="single" w:sz="4" w:space="0" w:color="auto"/>
            </w:tcBorders>
            <w:vAlign w:val="center"/>
          </w:tcPr>
          <w:p w:rsidR="009E3224" w:rsidRDefault="009E3224" w:rsidP="001541CE">
            <w:pPr>
              <w:rPr>
                <w:rFonts w:ascii="宋体" w:hAnsi="宋体"/>
                <w:kern w:val="0"/>
                <w:szCs w:val="21"/>
              </w:rPr>
            </w:pPr>
            <w:r>
              <w:rPr>
                <w:rFonts w:ascii="宋体" w:hAnsi="宋体" w:hint="eastAsia"/>
                <w:kern w:val="0"/>
                <w:szCs w:val="21"/>
              </w:rPr>
              <w:t>25.1</w:t>
            </w:r>
          </w:p>
        </w:tc>
        <w:tc>
          <w:tcPr>
            <w:tcW w:w="10208" w:type="dxa"/>
            <w:tcBorders>
              <w:left w:val="single" w:sz="4" w:space="0" w:color="auto"/>
              <w:right w:val="single" w:sz="4" w:space="0" w:color="auto"/>
            </w:tcBorders>
            <w:vAlign w:val="center"/>
          </w:tcPr>
          <w:p w:rsidR="009E3224" w:rsidRPr="00A76829" w:rsidRDefault="009E3224" w:rsidP="001541CE">
            <w:pPr>
              <w:rPr>
                <w:rFonts w:ascii="宋体" w:hAnsi="宋体"/>
                <w:kern w:val="0"/>
                <w:szCs w:val="21"/>
              </w:rPr>
            </w:pPr>
            <w:proofErr w:type="gramStart"/>
            <w:r w:rsidRPr="00A76829">
              <w:rPr>
                <w:rFonts w:ascii="宋体" w:hAnsi="宋体" w:hint="eastAsia"/>
                <w:kern w:val="0"/>
                <w:szCs w:val="21"/>
              </w:rPr>
              <w:t>采用热链工艺生产桶饭的</w:t>
            </w:r>
            <w:proofErr w:type="gramEnd"/>
            <w:r w:rsidRPr="00A76829">
              <w:rPr>
                <w:rFonts w:ascii="宋体" w:hAnsi="宋体" w:hint="eastAsia"/>
                <w:kern w:val="0"/>
                <w:szCs w:val="21"/>
              </w:rPr>
              <w:t>，应设置膳食暂存间，配备膳食加热设施（如电加热柜、蒸箱），以及膳食储存、配送时的保温设施（如保温性能良好的保温箱、保温桶）。</w:t>
            </w:r>
          </w:p>
        </w:tc>
        <w:tc>
          <w:tcPr>
            <w:tcW w:w="1073" w:type="dxa"/>
            <w:tcBorders>
              <w:top w:val="single" w:sz="4" w:space="0" w:color="auto"/>
              <w:left w:val="single" w:sz="4" w:space="0" w:color="auto"/>
              <w:bottom w:val="single" w:sz="4" w:space="0" w:color="auto"/>
              <w:right w:val="single" w:sz="4" w:space="0" w:color="auto"/>
            </w:tcBorders>
            <w:vAlign w:val="center"/>
          </w:tcPr>
          <w:p w:rsidR="009E3224" w:rsidRPr="00A76829" w:rsidRDefault="009E3224" w:rsidP="001541CE">
            <w:pPr>
              <w:rPr>
                <w:rFonts w:ascii="宋体" w:hAnsi="宋体"/>
                <w:kern w:val="0"/>
                <w:szCs w:val="21"/>
              </w:rPr>
            </w:pPr>
            <w:r w:rsidRPr="00A76829">
              <w:rPr>
                <w:rFonts w:ascii="宋体" w:hAnsi="宋体" w:hint="eastAsia"/>
                <w:kern w:val="0"/>
                <w:szCs w:val="21"/>
              </w:rPr>
              <w:t>***</w:t>
            </w:r>
          </w:p>
        </w:tc>
      </w:tr>
      <w:tr w:rsidR="009E3224" w:rsidRPr="00A76829" w:rsidTr="001541CE">
        <w:trPr>
          <w:cantSplit/>
          <w:trHeight w:val="635"/>
          <w:jc w:val="center"/>
        </w:trPr>
        <w:tc>
          <w:tcPr>
            <w:tcW w:w="1859" w:type="dxa"/>
            <w:tcBorders>
              <w:left w:val="single" w:sz="4" w:space="0" w:color="auto"/>
              <w:right w:val="single" w:sz="4" w:space="0" w:color="auto"/>
            </w:tcBorders>
            <w:vAlign w:val="center"/>
          </w:tcPr>
          <w:p w:rsidR="009E3224" w:rsidRDefault="009E3224" w:rsidP="001541CE">
            <w:pPr>
              <w:rPr>
                <w:rFonts w:ascii="宋体" w:hAnsi="宋体" w:hint="eastAsia"/>
                <w:kern w:val="0"/>
                <w:szCs w:val="21"/>
              </w:rPr>
            </w:pPr>
            <w:r>
              <w:rPr>
                <w:rFonts w:ascii="宋体" w:hAnsi="宋体" w:hint="eastAsia"/>
                <w:kern w:val="0"/>
                <w:szCs w:val="21"/>
              </w:rPr>
              <w:t>26.</w:t>
            </w:r>
            <w:proofErr w:type="gramStart"/>
            <w:r>
              <w:rPr>
                <w:rFonts w:ascii="宋体" w:hAnsi="宋体" w:hint="eastAsia"/>
                <w:kern w:val="0"/>
                <w:szCs w:val="21"/>
              </w:rPr>
              <w:t>桶饭供</w:t>
            </w:r>
            <w:proofErr w:type="gramEnd"/>
            <w:r>
              <w:rPr>
                <w:rFonts w:ascii="宋体" w:hAnsi="宋体" w:hint="eastAsia"/>
                <w:kern w:val="0"/>
                <w:szCs w:val="21"/>
              </w:rPr>
              <w:t>餐点</w:t>
            </w:r>
            <w:r w:rsidRPr="00A76829">
              <w:rPr>
                <w:rFonts w:ascii="宋体" w:hAnsi="宋体" w:hint="eastAsia"/>
                <w:kern w:val="0"/>
                <w:szCs w:val="21"/>
              </w:rPr>
              <w:t>场所、设备和</w:t>
            </w:r>
            <w:r>
              <w:rPr>
                <w:rFonts w:ascii="宋体" w:hAnsi="宋体" w:hint="eastAsia"/>
                <w:kern w:val="0"/>
                <w:szCs w:val="21"/>
              </w:rPr>
              <w:t>设施</w:t>
            </w:r>
          </w:p>
        </w:tc>
        <w:tc>
          <w:tcPr>
            <w:tcW w:w="851" w:type="dxa"/>
            <w:tcBorders>
              <w:left w:val="single" w:sz="4" w:space="0" w:color="auto"/>
              <w:right w:val="single" w:sz="4" w:space="0" w:color="auto"/>
            </w:tcBorders>
            <w:vAlign w:val="center"/>
          </w:tcPr>
          <w:p w:rsidR="009E3224" w:rsidRDefault="009E3224" w:rsidP="001541CE">
            <w:pPr>
              <w:rPr>
                <w:rFonts w:ascii="宋体" w:hAnsi="宋体"/>
                <w:kern w:val="0"/>
                <w:szCs w:val="21"/>
              </w:rPr>
            </w:pPr>
            <w:r>
              <w:rPr>
                <w:rFonts w:ascii="宋体" w:hAnsi="宋体" w:hint="eastAsia"/>
                <w:kern w:val="0"/>
                <w:szCs w:val="21"/>
              </w:rPr>
              <w:t>26.1</w:t>
            </w:r>
          </w:p>
        </w:tc>
        <w:tc>
          <w:tcPr>
            <w:tcW w:w="10208" w:type="dxa"/>
            <w:tcBorders>
              <w:left w:val="single" w:sz="4" w:space="0" w:color="auto"/>
              <w:right w:val="single" w:sz="4" w:space="0" w:color="auto"/>
            </w:tcBorders>
            <w:vAlign w:val="center"/>
          </w:tcPr>
          <w:p w:rsidR="009E3224" w:rsidRDefault="009E3224" w:rsidP="001541CE">
            <w:pPr>
              <w:rPr>
                <w:rFonts w:ascii="宋体" w:hAnsi="宋体"/>
                <w:kern w:val="0"/>
                <w:szCs w:val="21"/>
              </w:rPr>
            </w:pPr>
            <w:r w:rsidRPr="00A76829">
              <w:rPr>
                <w:rFonts w:ascii="宋体" w:hAnsi="宋体" w:hint="eastAsia"/>
                <w:kern w:val="0"/>
                <w:szCs w:val="21"/>
              </w:rPr>
              <w:t>生产</w:t>
            </w:r>
            <w:proofErr w:type="gramStart"/>
            <w:r w:rsidRPr="00A76829">
              <w:rPr>
                <w:rFonts w:ascii="宋体" w:hAnsi="宋体" w:hint="eastAsia"/>
                <w:kern w:val="0"/>
                <w:szCs w:val="21"/>
              </w:rPr>
              <w:t>配送桶饭的</w:t>
            </w:r>
            <w:proofErr w:type="gramEnd"/>
            <w:r w:rsidRPr="00A76829">
              <w:rPr>
                <w:rFonts w:ascii="宋体" w:hAnsi="宋体" w:hint="eastAsia"/>
                <w:kern w:val="0"/>
                <w:szCs w:val="21"/>
              </w:rPr>
              <w:t>，供餐点应设立面积满足分餐需要的分餐专用场所，配备膳食加热</w:t>
            </w:r>
            <w:proofErr w:type="gramStart"/>
            <w:r w:rsidRPr="00A76829">
              <w:rPr>
                <w:rFonts w:ascii="宋体" w:hAnsi="宋体" w:hint="eastAsia"/>
                <w:kern w:val="0"/>
                <w:szCs w:val="21"/>
              </w:rPr>
              <w:t>保温设施</w:t>
            </w:r>
            <w:proofErr w:type="gramEnd"/>
            <w:r w:rsidRPr="00A76829">
              <w:rPr>
                <w:rFonts w:ascii="宋体" w:hAnsi="宋体" w:hint="eastAsia"/>
                <w:kern w:val="0"/>
                <w:szCs w:val="21"/>
              </w:rPr>
              <w:t>设备，手部和工用具清洗消毒设备设施。</w:t>
            </w:r>
          </w:p>
        </w:tc>
        <w:tc>
          <w:tcPr>
            <w:tcW w:w="1073" w:type="dxa"/>
            <w:tcBorders>
              <w:top w:val="single" w:sz="4" w:space="0" w:color="auto"/>
              <w:left w:val="single" w:sz="4" w:space="0" w:color="auto"/>
              <w:right w:val="single" w:sz="4" w:space="0" w:color="auto"/>
            </w:tcBorders>
            <w:vAlign w:val="center"/>
          </w:tcPr>
          <w:p w:rsidR="009E3224" w:rsidRPr="00A76829" w:rsidRDefault="009E3224" w:rsidP="001541CE">
            <w:pPr>
              <w:rPr>
                <w:rFonts w:ascii="宋体" w:hAnsi="宋体"/>
                <w:kern w:val="0"/>
                <w:szCs w:val="21"/>
              </w:rPr>
            </w:pPr>
            <w:r w:rsidRPr="00A76829">
              <w:rPr>
                <w:rFonts w:ascii="宋体" w:hAnsi="宋体" w:hint="eastAsia"/>
                <w:kern w:val="0"/>
                <w:szCs w:val="21"/>
              </w:rPr>
              <w:t>***</w:t>
            </w:r>
          </w:p>
        </w:tc>
      </w:tr>
    </w:tbl>
    <w:p w:rsidR="009E3224" w:rsidRDefault="009E3224" w:rsidP="009E3224">
      <w:pPr>
        <w:rPr>
          <w:rFonts w:ascii="宋体" w:hAnsi="宋体" w:hint="eastAsia"/>
          <w:kern w:val="0"/>
          <w:szCs w:val="21"/>
        </w:rPr>
      </w:pPr>
      <w:r>
        <w:rPr>
          <w:rFonts w:ascii="宋体" w:hAnsi="宋体" w:hint="eastAsia"/>
          <w:kern w:val="0"/>
          <w:szCs w:val="21"/>
        </w:rPr>
        <w:t>注：</w:t>
      </w:r>
    </w:p>
    <w:p w:rsidR="009E3224" w:rsidRPr="00025880" w:rsidRDefault="009E3224" w:rsidP="009E3224">
      <w:pPr>
        <w:rPr>
          <w:rFonts w:ascii="宋体" w:hAnsi="宋体" w:hint="eastAsia"/>
          <w:kern w:val="0"/>
          <w:szCs w:val="21"/>
        </w:rPr>
      </w:pPr>
      <w:r w:rsidRPr="00025880">
        <w:rPr>
          <w:rFonts w:ascii="宋体" w:hAnsi="宋体" w:hint="eastAsia"/>
          <w:kern w:val="0"/>
          <w:szCs w:val="21"/>
        </w:rPr>
        <w:t>1、具体要求的重要性，***为关键项，**为重点项，*为一般项。</w:t>
      </w:r>
    </w:p>
    <w:p w:rsidR="009E3224" w:rsidRDefault="009E3224" w:rsidP="009E3224">
      <w:pPr>
        <w:rPr>
          <w:rFonts w:ascii="宋体" w:hAnsi="宋体" w:hint="eastAsia"/>
          <w:kern w:val="0"/>
          <w:szCs w:val="21"/>
        </w:rPr>
      </w:pPr>
      <w:r w:rsidRPr="00025880">
        <w:rPr>
          <w:rFonts w:ascii="宋体" w:hAnsi="宋体" w:hint="eastAsia"/>
          <w:kern w:val="0"/>
          <w:szCs w:val="21"/>
        </w:rPr>
        <w:t>2、判定基本符合：学生盒饭不符合项总数≤3项，其中关键项、重点项均应符合；社会盒饭、</w:t>
      </w:r>
      <w:proofErr w:type="gramStart"/>
      <w:r w:rsidRPr="00025880">
        <w:rPr>
          <w:rFonts w:ascii="宋体" w:hAnsi="宋体" w:hint="eastAsia"/>
          <w:kern w:val="0"/>
          <w:szCs w:val="21"/>
        </w:rPr>
        <w:t>桶饭不</w:t>
      </w:r>
      <w:proofErr w:type="gramEnd"/>
      <w:r w:rsidRPr="00025880">
        <w:rPr>
          <w:rFonts w:ascii="宋体" w:hAnsi="宋体" w:hint="eastAsia"/>
          <w:kern w:val="0"/>
          <w:szCs w:val="21"/>
        </w:rPr>
        <w:t>符合项总数≤7项，其中关键项均应符合，重点项不符合数≤1项。</w:t>
      </w:r>
    </w:p>
    <w:p w:rsidR="009E3224" w:rsidRPr="00A76829" w:rsidRDefault="009E3224" w:rsidP="009E3224">
      <w:pPr>
        <w:rPr>
          <w:rFonts w:ascii="宋体" w:hAnsi="宋体" w:hint="eastAsia"/>
          <w:kern w:val="0"/>
          <w:szCs w:val="21"/>
        </w:rPr>
      </w:pPr>
      <w:r w:rsidRPr="00A76829">
        <w:rPr>
          <w:rFonts w:ascii="宋体" w:hAnsi="宋体" w:hint="eastAsia"/>
          <w:kern w:val="0"/>
          <w:szCs w:val="21"/>
        </w:rPr>
        <w:t>3、尚未设置供餐点的，22.1和26.1项不作现场审查，但应要求提供相关制度。</w:t>
      </w:r>
    </w:p>
    <w:p w:rsidR="00442C00" w:rsidRPr="009E3224" w:rsidRDefault="00442C00"/>
    <w:sectPr w:rsidR="00442C00" w:rsidRPr="009E3224" w:rsidSect="0062315F">
      <w:pgSz w:w="16838" w:h="11906" w:orient="landscape"/>
      <w:pgMar w:top="1797" w:right="1440" w:bottom="1797" w:left="1440" w:header="851" w:footer="992" w:gutter="0"/>
      <w:pgNumType w:fmt="numberInDash" w:start="1"/>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24"/>
    <w:rsid w:val="00442C00"/>
    <w:rsid w:val="009E3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2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9E3224"/>
    <w:rPr>
      <w:sz w:val="21"/>
      <w:szCs w:val="21"/>
    </w:rPr>
  </w:style>
  <w:style w:type="paragraph" w:customStyle="1" w:styleId="Char1">
    <w:name w:val="Char1"/>
    <w:basedOn w:val="a"/>
    <w:autoRedefine/>
    <w:rsid w:val="009E3224"/>
    <w:rPr>
      <w:rFonts w:ascii="仿宋_GB2312" w:eastAsia="仿宋_GB2312"/>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2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9E3224"/>
    <w:rPr>
      <w:sz w:val="21"/>
      <w:szCs w:val="21"/>
    </w:rPr>
  </w:style>
  <w:style w:type="paragraph" w:customStyle="1" w:styleId="Char1">
    <w:name w:val="Char1"/>
    <w:basedOn w:val="a"/>
    <w:autoRedefine/>
    <w:rsid w:val="009E3224"/>
    <w:rPr>
      <w:rFonts w:ascii="仿宋_GB2312" w:eastAsia="仿宋_GB2312"/>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wuyanna</dc:creator>
  <cp:lastModifiedBy>wuyanna</cp:lastModifiedBy>
  <cp:revision>1</cp:revision>
  <dcterms:created xsi:type="dcterms:W3CDTF">2015-05-05T05:42:00Z</dcterms:created>
  <dcterms:modified xsi:type="dcterms:W3CDTF">2015-05-05T05:42:00Z</dcterms:modified>
</cp:coreProperties>
</file>